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39E10">
      <w:pPr>
        <w:ind w:firstLine="420"/>
        <w:rPr>
          <w:color w:val="auto"/>
        </w:rPr>
      </w:pPr>
    </w:p>
    <w:p w14:paraId="180F4759">
      <w:pPr>
        <w:pStyle w:val="47"/>
        <w:widowControl/>
        <w:kinsoku w:val="0"/>
        <w:adjustRightInd w:val="0"/>
        <w:snapToGrid w:val="0"/>
        <w:textAlignment w:val="baseline"/>
        <w:rPr>
          <w:rFonts w:hint="default"/>
          <w:color w:val="auto"/>
        </w:rPr>
      </w:pPr>
      <w:r>
        <w:rPr>
          <w:color w:val="auto"/>
        </w:rPr>
        <w:t>重庆三峡银行</w:t>
      </w:r>
    </w:p>
    <w:p w14:paraId="5A79F6FE">
      <w:pPr>
        <w:pStyle w:val="47"/>
        <w:widowControl/>
        <w:kinsoku w:val="0"/>
        <w:adjustRightInd w:val="0"/>
        <w:snapToGrid w:val="0"/>
        <w:textAlignment w:val="baseline"/>
        <w:rPr>
          <w:rFonts w:hint="default"/>
          <w:color w:val="auto"/>
        </w:rPr>
      </w:pPr>
      <w:r>
        <w:rPr>
          <w:color w:val="auto"/>
        </w:rPr>
        <w:t>第二代移动作业管理系统建设项目</w:t>
      </w:r>
    </w:p>
    <w:p w14:paraId="01259FEE">
      <w:pPr>
        <w:spacing w:line="240" w:lineRule="auto"/>
        <w:ind w:firstLine="420"/>
        <w:jc w:val="left"/>
        <w:rPr>
          <w:color w:val="auto"/>
        </w:rPr>
      </w:pPr>
    </w:p>
    <w:p w14:paraId="0494A6DD">
      <w:pPr>
        <w:ind w:firstLine="420"/>
        <w:rPr>
          <w:color w:val="auto"/>
        </w:rPr>
      </w:pPr>
    </w:p>
    <w:p w14:paraId="030AFC27">
      <w:pPr>
        <w:ind w:firstLine="420"/>
        <w:rPr>
          <w:color w:val="auto"/>
        </w:rPr>
      </w:pPr>
    </w:p>
    <w:p w14:paraId="53FA8C95">
      <w:pPr>
        <w:ind w:firstLine="420"/>
        <w:rPr>
          <w:color w:val="auto"/>
        </w:rPr>
      </w:pPr>
    </w:p>
    <w:p w14:paraId="1421A8D4">
      <w:pPr>
        <w:ind w:firstLine="420"/>
        <w:rPr>
          <w:color w:val="auto"/>
        </w:rPr>
      </w:pPr>
    </w:p>
    <w:p w14:paraId="3F37C08C">
      <w:pPr>
        <w:spacing w:line="240" w:lineRule="auto"/>
        <w:ind w:firstLine="420"/>
        <w:jc w:val="left"/>
        <w:rPr>
          <w:color w:val="auto"/>
        </w:rPr>
      </w:pPr>
    </w:p>
    <w:p w14:paraId="7F9AC38F">
      <w:pPr>
        <w:spacing w:line="240" w:lineRule="auto"/>
        <w:ind w:firstLine="420"/>
        <w:jc w:val="left"/>
        <w:rPr>
          <w:color w:val="auto"/>
        </w:rPr>
      </w:pPr>
    </w:p>
    <w:p w14:paraId="409A46BF">
      <w:pPr>
        <w:spacing w:line="240" w:lineRule="auto"/>
        <w:ind w:firstLine="420"/>
        <w:jc w:val="left"/>
        <w:rPr>
          <w:color w:val="auto"/>
        </w:rPr>
      </w:pPr>
    </w:p>
    <w:p w14:paraId="1D868646">
      <w:pPr>
        <w:pStyle w:val="48"/>
        <w:rPr>
          <w:rFonts w:hint="default"/>
          <w:color w:val="auto"/>
        </w:rPr>
      </w:pPr>
      <w:r>
        <w:rPr>
          <w:color w:val="auto"/>
        </w:rPr>
        <w:t>询 比 文 件</w:t>
      </w:r>
    </w:p>
    <w:p w14:paraId="014CA983">
      <w:pPr>
        <w:ind w:firstLine="420"/>
        <w:rPr>
          <w:color w:val="auto"/>
        </w:rPr>
      </w:pPr>
    </w:p>
    <w:p w14:paraId="410B4878">
      <w:pPr>
        <w:ind w:firstLine="420"/>
        <w:rPr>
          <w:color w:val="auto"/>
        </w:rPr>
      </w:pPr>
    </w:p>
    <w:p w14:paraId="2BAA863F">
      <w:pPr>
        <w:ind w:firstLine="420"/>
        <w:rPr>
          <w:color w:val="auto"/>
        </w:rPr>
      </w:pPr>
    </w:p>
    <w:p w14:paraId="3FA63117">
      <w:pPr>
        <w:ind w:firstLine="420"/>
        <w:rPr>
          <w:color w:val="auto"/>
        </w:rPr>
      </w:pPr>
    </w:p>
    <w:tbl>
      <w:tblPr>
        <w:tblStyle w:val="19"/>
        <w:tblpPr w:leftFromText="180" w:rightFromText="180" w:vertAnchor="text" w:horzAnchor="page" w:tblpX="1598" w:tblpY="369"/>
        <w:tblOverlap w:val="never"/>
        <w:tblW w:w="8723" w:type="dxa"/>
        <w:tblInd w:w="0" w:type="dxa"/>
        <w:tblLayout w:type="fixed"/>
        <w:tblCellMar>
          <w:top w:w="0" w:type="dxa"/>
          <w:left w:w="0" w:type="dxa"/>
          <w:bottom w:w="0" w:type="dxa"/>
          <w:right w:w="0" w:type="dxa"/>
        </w:tblCellMar>
      </w:tblPr>
      <w:tblGrid>
        <w:gridCol w:w="1981"/>
        <w:gridCol w:w="4490"/>
        <w:gridCol w:w="2252"/>
      </w:tblGrid>
      <w:tr w14:paraId="6FF90D99">
        <w:tblPrEx>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14:paraId="09D6EA40">
            <w:pPr>
              <w:pStyle w:val="17"/>
              <w:jc w:val="distribute"/>
              <w:rPr>
                <w:color w:val="auto"/>
              </w:rPr>
            </w:pPr>
            <w:r>
              <w:rPr>
                <w:rFonts w:hint="eastAsia"/>
                <w:color w:val="auto"/>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14:paraId="6BC289CC">
            <w:pPr>
              <w:pStyle w:val="17"/>
              <w:rPr>
                <w:color w:val="auto"/>
              </w:rPr>
            </w:pPr>
            <w:r>
              <w:rPr>
                <w:color w:val="auto"/>
              </w:rPr>
              <w:t>重庆三峡银行股份有限公司</w:t>
            </w:r>
          </w:p>
        </w:tc>
        <w:tc>
          <w:tcPr>
            <w:tcW w:w="2252" w:type="dxa"/>
            <w:tcBorders>
              <w:top w:val="nil"/>
              <w:left w:val="nil"/>
              <w:bottom w:val="nil"/>
              <w:right w:val="nil"/>
            </w:tcBorders>
            <w:noWrap/>
            <w:tcMar>
              <w:top w:w="10" w:type="dxa"/>
              <w:left w:w="10" w:type="dxa"/>
              <w:right w:w="10" w:type="dxa"/>
            </w:tcMar>
            <w:vAlign w:val="bottom"/>
          </w:tcPr>
          <w:p w14:paraId="455CA4AB">
            <w:pPr>
              <w:pStyle w:val="17"/>
              <w:rPr>
                <w:color w:val="auto"/>
              </w:rPr>
            </w:pPr>
            <w:r>
              <w:rPr>
                <w:rFonts w:hint="eastAsia"/>
                <w:color w:val="auto"/>
              </w:rPr>
              <w:t>（盖单位公章）</w:t>
            </w:r>
          </w:p>
        </w:tc>
      </w:tr>
    </w:tbl>
    <w:p w14:paraId="79843028">
      <w:pPr>
        <w:spacing w:line="240" w:lineRule="auto"/>
        <w:ind w:firstLine="420"/>
        <w:jc w:val="left"/>
        <w:rPr>
          <w:color w:val="auto"/>
        </w:rPr>
      </w:pPr>
    </w:p>
    <w:p w14:paraId="43AED4FF">
      <w:pPr>
        <w:spacing w:line="240" w:lineRule="auto"/>
        <w:ind w:firstLine="420"/>
        <w:jc w:val="left"/>
        <w:rPr>
          <w:color w:val="auto"/>
        </w:rPr>
      </w:pPr>
    </w:p>
    <w:p w14:paraId="6E5FF26C">
      <w:pPr>
        <w:ind w:firstLine="420"/>
        <w:rPr>
          <w:color w:val="auto"/>
        </w:rPr>
      </w:pPr>
    </w:p>
    <w:p w14:paraId="6A98EC51">
      <w:pPr>
        <w:pStyle w:val="17"/>
        <w:rPr>
          <w:color w:val="auto"/>
        </w:rPr>
      </w:pPr>
      <w:bookmarkStart w:id="0" w:name="_Toc13210649"/>
      <w:bookmarkStart w:id="1" w:name="_Toc536621766"/>
      <w:bookmarkStart w:id="2" w:name="_Toc536797277"/>
      <w:bookmarkStart w:id="3" w:name="_Toc536796736"/>
      <w:bookmarkStart w:id="4" w:name="_Toc509218549"/>
      <w:r>
        <w:rPr>
          <w:rFonts w:hint="eastAsia"/>
          <w:color w:val="auto"/>
          <w:lang w:val="en-US" w:eastAsia="zh-CN"/>
        </w:rPr>
        <w:t>2026</w:t>
      </w:r>
      <w:r>
        <w:rPr>
          <w:rFonts w:hint="eastAsia"/>
          <w:color w:val="auto"/>
        </w:rPr>
        <w:t>年</w:t>
      </w:r>
      <w:r>
        <w:rPr>
          <w:rFonts w:hint="eastAsia"/>
          <w:color w:val="auto"/>
          <w:lang w:val="en-US" w:eastAsia="zh-CN"/>
        </w:rPr>
        <w:t>9</w:t>
      </w:r>
      <w:r>
        <w:rPr>
          <w:rFonts w:hint="eastAsia"/>
          <w:color w:val="auto"/>
        </w:rPr>
        <w:t>月</w:t>
      </w:r>
      <w:bookmarkEnd w:id="0"/>
      <w:bookmarkEnd w:id="1"/>
      <w:bookmarkEnd w:id="2"/>
      <w:bookmarkEnd w:id="3"/>
      <w:bookmarkEnd w:id="4"/>
      <w:r>
        <w:rPr>
          <w:rFonts w:hint="eastAsia"/>
          <w:color w:val="auto"/>
          <w:lang w:val="en-US" w:eastAsia="zh-CN"/>
        </w:rPr>
        <w:t>1</w:t>
      </w:r>
      <w:r>
        <w:rPr>
          <w:rFonts w:hint="eastAsia"/>
          <w:color w:val="auto"/>
        </w:rPr>
        <w:t>日</w:t>
      </w:r>
    </w:p>
    <w:p w14:paraId="7F0F6533">
      <w:pPr>
        <w:ind w:firstLine="964"/>
        <w:rPr>
          <w:rFonts w:hint="eastAsia" w:ascii="宋体" w:hAnsi="宋体" w:cs="宋体"/>
          <w:b/>
          <w:bCs/>
          <w:color w:val="auto"/>
          <w:sz w:val="48"/>
          <w:szCs w:val="48"/>
        </w:rPr>
      </w:pPr>
      <w:r>
        <w:rPr>
          <w:rFonts w:hint="eastAsia" w:ascii="宋体" w:hAnsi="宋体" w:cs="宋体"/>
          <w:b/>
          <w:bCs/>
          <w:color w:val="auto"/>
          <w:sz w:val="48"/>
          <w:szCs w:val="48"/>
        </w:rPr>
        <w:br w:type="page"/>
      </w:r>
    </w:p>
    <w:p w14:paraId="5F8185A3">
      <w:pPr>
        <w:tabs>
          <w:tab w:val="right" w:leader="dot" w:pos="8307"/>
        </w:tabs>
        <w:ind w:firstLine="964"/>
        <w:jc w:val="center"/>
        <w:rPr>
          <w:rFonts w:hint="eastAsia" w:ascii="宋体" w:hAnsi="宋体" w:cs="宋体"/>
          <w:b/>
          <w:bCs/>
          <w:color w:val="auto"/>
          <w:sz w:val="48"/>
          <w:szCs w:val="48"/>
        </w:rPr>
      </w:pPr>
      <w:r>
        <w:rPr>
          <w:rFonts w:hint="eastAsia" w:ascii="宋体" w:hAnsi="宋体" w:cs="宋体"/>
          <w:b/>
          <w:bCs/>
          <w:color w:val="auto"/>
          <w:sz w:val="48"/>
          <w:szCs w:val="48"/>
        </w:rPr>
        <w:t>目录</w:t>
      </w:r>
    </w:p>
    <w:p w14:paraId="7EB52D77">
      <w:pPr>
        <w:tabs>
          <w:tab w:val="right" w:leader="dot" w:pos="8303"/>
        </w:tabs>
        <w:ind w:firstLine="420"/>
        <w:rPr>
          <w:rFonts w:hint="eastAsia" w:ascii="宋体" w:hAnsi="宋体" w:cs="宋体"/>
          <w:color w:val="auto"/>
          <w:szCs w:val="21"/>
        </w:rPr>
      </w:pPr>
    </w:p>
    <w:p w14:paraId="7ABCECD9">
      <w:pPr>
        <w:pStyle w:val="16"/>
        <w:tabs>
          <w:tab w:val="right" w:leader="dot" w:pos="8303"/>
        </w:tabs>
      </w:pPr>
      <w:r>
        <w:rPr>
          <w:rFonts w:ascii="宋体" w:hAnsi="宋体" w:cs="宋体"/>
          <w:color w:val="auto"/>
          <w:szCs w:val="21"/>
        </w:rPr>
        <w:fldChar w:fldCharType="begin"/>
      </w:r>
      <w:r>
        <w:rPr>
          <w:rFonts w:ascii="宋体" w:hAnsi="宋体" w:cs="宋体"/>
          <w:color w:val="auto"/>
          <w:szCs w:val="21"/>
        </w:rPr>
        <w:instrText xml:space="preserve">TOC \o "1-1" \h \u </w:instrText>
      </w:r>
      <w:r>
        <w:rPr>
          <w:rFonts w:ascii="宋体" w:hAnsi="宋体" w:cs="宋体"/>
          <w:color w:val="auto"/>
          <w:szCs w:val="21"/>
        </w:rPr>
        <w:fldChar w:fldCharType="separate"/>
      </w:r>
      <w:r>
        <w:rPr>
          <w:rFonts w:ascii="宋体" w:hAnsi="宋体" w:cs="宋体"/>
          <w:color w:val="auto"/>
          <w:szCs w:val="21"/>
        </w:rPr>
        <w:fldChar w:fldCharType="begin"/>
      </w:r>
      <w:r>
        <w:rPr>
          <w:rFonts w:ascii="宋体" w:hAnsi="宋体" w:cs="宋体"/>
          <w:szCs w:val="21"/>
        </w:rPr>
        <w:instrText xml:space="preserve"> HYPERLINK \l _Toc5570 </w:instrText>
      </w:r>
      <w:r>
        <w:rPr>
          <w:rFonts w:ascii="宋体" w:hAnsi="宋体" w:cs="宋体"/>
          <w:szCs w:val="21"/>
        </w:rPr>
        <w:fldChar w:fldCharType="separate"/>
      </w:r>
      <w:r>
        <w:rPr>
          <w:rFonts w:hint="eastAsia"/>
        </w:rPr>
        <w:t>第一章 询比公告</w:t>
      </w:r>
      <w:r>
        <w:tab/>
      </w:r>
      <w:r>
        <w:fldChar w:fldCharType="begin"/>
      </w:r>
      <w:r>
        <w:instrText xml:space="preserve"> PAGEREF _Toc5570 \h </w:instrText>
      </w:r>
      <w:r>
        <w:fldChar w:fldCharType="separate"/>
      </w:r>
      <w:r>
        <w:t>1</w:t>
      </w:r>
      <w:r>
        <w:fldChar w:fldCharType="end"/>
      </w:r>
      <w:r>
        <w:rPr>
          <w:rFonts w:ascii="宋体" w:hAnsi="宋体" w:cs="宋体"/>
          <w:color w:val="auto"/>
          <w:szCs w:val="21"/>
        </w:rPr>
        <w:fldChar w:fldCharType="end"/>
      </w:r>
    </w:p>
    <w:p w14:paraId="65D776F9">
      <w:pPr>
        <w:pStyle w:val="16"/>
        <w:tabs>
          <w:tab w:val="right" w:leader="dot" w:pos="8303"/>
        </w:tabs>
      </w:pPr>
      <w:r>
        <w:rPr>
          <w:rFonts w:ascii="宋体" w:hAnsi="宋体" w:cs="宋体"/>
          <w:color w:val="auto"/>
          <w:szCs w:val="21"/>
        </w:rPr>
        <w:fldChar w:fldCharType="begin"/>
      </w:r>
      <w:r>
        <w:rPr>
          <w:rFonts w:ascii="宋体" w:hAnsi="宋体" w:cs="宋体"/>
          <w:szCs w:val="21"/>
        </w:rPr>
        <w:instrText xml:space="preserve"> HYPERLINK \l _Toc20784 </w:instrText>
      </w:r>
      <w:r>
        <w:rPr>
          <w:rFonts w:ascii="宋体" w:hAnsi="宋体" w:cs="宋体"/>
          <w:szCs w:val="21"/>
        </w:rPr>
        <w:fldChar w:fldCharType="separate"/>
      </w:r>
      <w:r>
        <w:t xml:space="preserve">第二章 </w:t>
      </w:r>
      <w:r>
        <w:rPr>
          <w:rFonts w:hint="eastAsia"/>
        </w:rPr>
        <w:t>响应人</w:t>
      </w:r>
      <w:r>
        <w:t>须知</w:t>
      </w:r>
      <w:r>
        <w:tab/>
      </w:r>
      <w:r>
        <w:fldChar w:fldCharType="begin"/>
      </w:r>
      <w:r>
        <w:instrText xml:space="preserve"> PAGEREF _Toc20784 \h </w:instrText>
      </w:r>
      <w:r>
        <w:fldChar w:fldCharType="separate"/>
      </w:r>
      <w:r>
        <w:t>3</w:t>
      </w:r>
      <w:r>
        <w:fldChar w:fldCharType="end"/>
      </w:r>
      <w:r>
        <w:rPr>
          <w:rFonts w:ascii="宋体" w:hAnsi="宋体" w:cs="宋体"/>
          <w:color w:val="auto"/>
          <w:szCs w:val="21"/>
        </w:rPr>
        <w:fldChar w:fldCharType="end"/>
      </w:r>
    </w:p>
    <w:p w14:paraId="49B75480">
      <w:pPr>
        <w:pStyle w:val="16"/>
        <w:tabs>
          <w:tab w:val="right" w:leader="dot" w:pos="8303"/>
        </w:tabs>
      </w:pPr>
      <w:r>
        <w:rPr>
          <w:rFonts w:ascii="宋体" w:hAnsi="宋体" w:cs="宋体"/>
          <w:color w:val="auto"/>
          <w:szCs w:val="21"/>
        </w:rPr>
        <w:fldChar w:fldCharType="begin"/>
      </w:r>
      <w:r>
        <w:rPr>
          <w:rFonts w:ascii="宋体" w:hAnsi="宋体" w:cs="宋体"/>
          <w:szCs w:val="21"/>
        </w:rPr>
        <w:instrText xml:space="preserve"> HYPERLINK \l _Toc12009 </w:instrText>
      </w:r>
      <w:r>
        <w:rPr>
          <w:rFonts w:ascii="宋体" w:hAnsi="宋体" w:cs="宋体"/>
          <w:szCs w:val="21"/>
        </w:rPr>
        <w:fldChar w:fldCharType="separate"/>
      </w:r>
      <w:r>
        <w:rPr>
          <w:rFonts w:hint="eastAsia"/>
        </w:rPr>
        <w:t>第三章 评审办法（综合评估法）</w:t>
      </w:r>
      <w:r>
        <w:tab/>
      </w:r>
      <w:r>
        <w:fldChar w:fldCharType="begin"/>
      </w:r>
      <w:r>
        <w:instrText xml:space="preserve"> PAGEREF _Toc12009 \h </w:instrText>
      </w:r>
      <w:r>
        <w:fldChar w:fldCharType="separate"/>
      </w:r>
      <w:r>
        <w:t>20</w:t>
      </w:r>
      <w:r>
        <w:fldChar w:fldCharType="end"/>
      </w:r>
      <w:r>
        <w:rPr>
          <w:rFonts w:ascii="宋体" w:hAnsi="宋体" w:cs="宋体"/>
          <w:color w:val="auto"/>
          <w:szCs w:val="21"/>
        </w:rPr>
        <w:fldChar w:fldCharType="end"/>
      </w:r>
    </w:p>
    <w:p w14:paraId="51B45E2F">
      <w:pPr>
        <w:pStyle w:val="16"/>
        <w:tabs>
          <w:tab w:val="right" w:leader="dot" w:pos="8303"/>
        </w:tabs>
      </w:pPr>
      <w:r>
        <w:rPr>
          <w:rFonts w:ascii="宋体" w:hAnsi="宋体" w:cs="宋体"/>
          <w:color w:val="auto"/>
          <w:szCs w:val="21"/>
        </w:rPr>
        <w:fldChar w:fldCharType="begin"/>
      </w:r>
      <w:r>
        <w:rPr>
          <w:rFonts w:ascii="宋体" w:hAnsi="宋体" w:cs="宋体"/>
          <w:szCs w:val="21"/>
        </w:rPr>
        <w:instrText xml:space="preserve"> HYPERLINK \l _Toc9379 </w:instrText>
      </w:r>
      <w:r>
        <w:rPr>
          <w:rFonts w:ascii="宋体" w:hAnsi="宋体" w:cs="宋体"/>
          <w:szCs w:val="21"/>
        </w:rPr>
        <w:fldChar w:fldCharType="separate"/>
      </w:r>
      <w:r>
        <w:rPr>
          <w:rFonts w:hint="eastAsia"/>
        </w:rPr>
        <w:t>第四章 合同条款及格式</w:t>
      </w:r>
      <w:r>
        <w:tab/>
      </w:r>
      <w:r>
        <w:fldChar w:fldCharType="begin"/>
      </w:r>
      <w:r>
        <w:instrText xml:space="preserve"> PAGEREF _Toc9379 \h </w:instrText>
      </w:r>
      <w:r>
        <w:fldChar w:fldCharType="separate"/>
      </w:r>
      <w:r>
        <w:t>29</w:t>
      </w:r>
      <w:r>
        <w:fldChar w:fldCharType="end"/>
      </w:r>
      <w:r>
        <w:rPr>
          <w:rFonts w:ascii="宋体" w:hAnsi="宋体" w:cs="宋体"/>
          <w:color w:val="auto"/>
          <w:szCs w:val="21"/>
        </w:rPr>
        <w:fldChar w:fldCharType="end"/>
      </w:r>
    </w:p>
    <w:p w14:paraId="50C69355">
      <w:pPr>
        <w:pStyle w:val="16"/>
        <w:tabs>
          <w:tab w:val="right" w:leader="dot" w:pos="8303"/>
        </w:tabs>
      </w:pPr>
      <w:r>
        <w:rPr>
          <w:rFonts w:ascii="宋体" w:hAnsi="宋体" w:cs="宋体"/>
          <w:color w:val="auto"/>
          <w:szCs w:val="21"/>
        </w:rPr>
        <w:fldChar w:fldCharType="begin"/>
      </w:r>
      <w:r>
        <w:rPr>
          <w:rFonts w:ascii="宋体" w:hAnsi="宋体" w:cs="宋体"/>
          <w:szCs w:val="21"/>
        </w:rPr>
        <w:instrText xml:space="preserve"> HYPERLINK \l _Toc6639 </w:instrText>
      </w:r>
      <w:r>
        <w:rPr>
          <w:rFonts w:ascii="宋体" w:hAnsi="宋体" w:cs="宋体"/>
          <w:szCs w:val="21"/>
        </w:rPr>
        <w:fldChar w:fldCharType="separate"/>
      </w:r>
      <w:r>
        <w:rPr>
          <w:rFonts w:hint="eastAsia"/>
        </w:rPr>
        <w:t>第五章 项目</w:t>
      </w:r>
      <w:r>
        <w:t>要求</w:t>
      </w:r>
      <w:r>
        <w:tab/>
      </w:r>
      <w:r>
        <w:fldChar w:fldCharType="begin"/>
      </w:r>
      <w:r>
        <w:instrText xml:space="preserve"> PAGEREF _Toc6639 \h </w:instrText>
      </w:r>
      <w:r>
        <w:fldChar w:fldCharType="separate"/>
      </w:r>
      <w:r>
        <w:t>72</w:t>
      </w:r>
      <w:r>
        <w:fldChar w:fldCharType="end"/>
      </w:r>
      <w:r>
        <w:rPr>
          <w:rFonts w:ascii="宋体" w:hAnsi="宋体" w:cs="宋体"/>
          <w:color w:val="auto"/>
          <w:szCs w:val="21"/>
        </w:rPr>
        <w:fldChar w:fldCharType="end"/>
      </w:r>
    </w:p>
    <w:p w14:paraId="64F4C9CB">
      <w:pPr>
        <w:pStyle w:val="16"/>
        <w:tabs>
          <w:tab w:val="right" w:leader="dot" w:pos="8303"/>
        </w:tabs>
      </w:pPr>
      <w:r>
        <w:rPr>
          <w:rFonts w:ascii="宋体" w:hAnsi="宋体" w:cs="宋体"/>
          <w:color w:val="auto"/>
          <w:szCs w:val="21"/>
        </w:rPr>
        <w:fldChar w:fldCharType="begin"/>
      </w:r>
      <w:r>
        <w:rPr>
          <w:rFonts w:ascii="宋体" w:hAnsi="宋体" w:cs="宋体"/>
          <w:szCs w:val="21"/>
        </w:rPr>
        <w:instrText xml:space="preserve"> HYPERLINK \l _Toc27915 </w:instrText>
      </w:r>
      <w:r>
        <w:rPr>
          <w:rFonts w:ascii="宋体" w:hAnsi="宋体" w:cs="宋体"/>
          <w:szCs w:val="21"/>
        </w:rPr>
        <w:fldChar w:fldCharType="separate"/>
      </w:r>
      <w:r>
        <w:rPr>
          <w:rFonts w:hint="eastAsia"/>
        </w:rPr>
        <w:t>第六章 响应文件格式</w:t>
      </w:r>
      <w:r>
        <w:tab/>
      </w:r>
      <w:r>
        <w:fldChar w:fldCharType="begin"/>
      </w:r>
      <w:r>
        <w:instrText xml:space="preserve"> PAGEREF _Toc27915 \h </w:instrText>
      </w:r>
      <w:r>
        <w:fldChar w:fldCharType="separate"/>
      </w:r>
      <w:r>
        <w:t>93</w:t>
      </w:r>
      <w:r>
        <w:fldChar w:fldCharType="end"/>
      </w:r>
      <w:r>
        <w:rPr>
          <w:rFonts w:ascii="宋体" w:hAnsi="宋体" w:cs="宋体"/>
          <w:color w:val="auto"/>
          <w:szCs w:val="21"/>
        </w:rPr>
        <w:fldChar w:fldCharType="end"/>
      </w:r>
    </w:p>
    <w:p w14:paraId="29E67DD7">
      <w:pPr>
        <w:ind w:firstLine="420"/>
        <w:rPr>
          <w:rFonts w:hint="eastAsia" w:ascii="宋体" w:hAnsi="宋体" w:cs="宋体"/>
          <w:color w:val="auto"/>
          <w:szCs w:val="21"/>
        </w:rPr>
        <w:sectPr>
          <w:headerReference r:id="rId5" w:type="default"/>
          <w:footerReference r:id="rId6" w:type="default"/>
          <w:pgSz w:w="11906" w:h="16838"/>
          <w:pgMar w:top="1440" w:right="1800" w:bottom="1440" w:left="1803" w:header="851" w:footer="992" w:gutter="0"/>
          <w:pgNumType w:fmt="numberInDash" w:start="1"/>
          <w:cols w:space="425" w:num="1"/>
          <w:docGrid w:type="lines" w:linePitch="312" w:charSpace="0"/>
        </w:sectPr>
      </w:pPr>
      <w:r>
        <w:rPr>
          <w:rFonts w:ascii="宋体" w:hAnsi="宋体" w:cs="宋体"/>
          <w:color w:val="auto"/>
          <w:szCs w:val="21"/>
        </w:rPr>
        <w:fldChar w:fldCharType="end"/>
      </w:r>
      <w:bookmarkStart w:id="1174" w:name="_GoBack"/>
      <w:bookmarkEnd w:id="1174"/>
    </w:p>
    <w:p w14:paraId="15F60011">
      <w:pPr>
        <w:pStyle w:val="2"/>
        <w:rPr>
          <w:color w:val="auto"/>
        </w:rPr>
      </w:pPr>
      <w:bookmarkStart w:id="5" w:name="_Toc57820541"/>
      <w:bookmarkStart w:id="6" w:name="_Toc892"/>
      <w:bookmarkStart w:id="7" w:name="_Toc2218"/>
      <w:bookmarkStart w:id="8" w:name="_Toc287620666"/>
      <w:bookmarkStart w:id="9" w:name="_Toc25114"/>
      <w:bookmarkStart w:id="10" w:name="_Toc24025"/>
      <w:bookmarkStart w:id="11" w:name="_Toc29230"/>
      <w:bookmarkStart w:id="12" w:name="_Toc277082535"/>
      <w:bookmarkStart w:id="13" w:name="_Toc14351"/>
      <w:bookmarkStart w:id="14" w:name="_Toc287607727"/>
      <w:bookmarkStart w:id="15" w:name="_Toc20086"/>
      <w:bookmarkStart w:id="16" w:name="_Toc509218691"/>
      <w:bookmarkStart w:id="17" w:name="_Toc10322"/>
      <w:bookmarkStart w:id="18" w:name="_Toc1404"/>
      <w:bookmarkStart w:id="19" w:name="_Toc7457"/>
      <w:bookmarkStart w:id="20" w:name="_Toc2724"/>
      <w:bookmarkStart w:id="21" w:name="_Toc30744"/>
      <w:bookmarkStart w:id="22" w:name="_Toc31454"/>
      <w:bookmarkStart w:id="23" w:name="_Toc430530415"/>
      <w:bookmarkStart w:id="24" w:name="_Toc17057"/>
      <w:bookmarkStart w:id="25" w:name="_Toc25350"/>
      <w:bookmarkStart w:id="26" w:name="_Toc9321"/>
      <w:bookmarkStart w:id="27" w:name="_Toc11350"/>
      <w:bookmarkStart w:id="28" w:name="_Toc224103298"/>
      <w:bookmarkStart w:id="29" w:name="_Toc12053"/>
      <w:bookmarkStart w:id="30" w:name="_Toc178"/>
      <w:bookmarkStart w:id="31" w:name="_Toc27469"/>
      <w:bookmarkStart w:id="32" w:name="_Toc11560"/>
      <w:bookmarkStart w:id="33" w:name="_Toc8599"/>
      <w:bookmarkStart w:id="34" w:name="_Toc32278"/>
      <w:bookmarkStart w:id="35" w:name="_Toc3595"/>
      <w:bookmarkStart w:id="36" w:name="_Toc14835"/>
      <w:bookmarkStart w:id="37" w:name="_Toc5570"/>
      <w:r>
        <w:rPr>
          <w:rFonts w:hint="eastAsia"/>
          <w:color w:val="auto"/>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color w:val="auto"/>
        </w:rPr>
        <w:t>询比公告</w:t>
      </w:r>
      <w:bookmarkEnd w:id="29"/>
      <w:bookmarkEnd w:id="30"/>
      <w:bookmarkEnd w:id="31"/>
      <w:bookmarkEnd w:id="32"/>
      <w:bookmarkEnd w:id="33"/>
      <w:bookmarkEnd w:id="34"/>
      <w:bookmarkEnd w:id="35"/>
      <w:bookmarkEnd w:id="36"/>
      <w:bookmarkEnd w:id="37"/>
    </w:p>
    <w:p w14:paraId="36FF122E">
      <w:pPr>
        <w:ind w:firstLine="420"/>
        <w:jc w:val="center"/>
        <w:rPr>
          <w:rFonts w:hint="eastAsia" w:ascii="宋体" w:hAnsi="宋体" w:cs="宋体"/>
          <w:color w:val="auto"/>
          <w:u w:val="single"/>
        </w:rPr>
      </w:pPr>
    </w:p>
    <w:p w14:paraId="36C4D22B">
      <w:pPr>
        <w:pStyle w:val="17"/>
        <w:rPr>
          <w:color w:val="auto"/>
        </w:rPr>
      </w:pPr>
      <w:r>
        <w:rPr>
          <w:rFonts w:hint="eastAsia"/>
          <w:color w:val="auto"/>
        </w:rPr>
        <w:t>重庆三峡银行第二代移动作业管理系统建设项目询比公告</w:t>
      </w:r>
    </w:p>
    <w:p w14:paraId="236400F7">
      <w:pPr>
        <w:pStyle w:val="3"/>
        <w:rPr>
          <w:color w:val="auto"/>
        </w:rPr>
      </w:pPr>
      <w:bookmarkStart w:id="38" w:name="_Toc1435"/>
      <w:bookmarkStart w:id="39" w:name="_Toc22470"/>
      <w:bookmarkStart w:id="40" w:name="_Toc13298"/>
      <w:bookmarkStart w:id="41" w:name="_Toc15916"/>
      <w:bookmarkStart w:id="42" w:name="_Toc29828"/>
      <w:bookmarkStart w:id="43" w:name="_Toc23137"/>
      <w:bookmarkStart w:id="44" w:name="_Toc492300546"/>
      <w:bookmarkStart w:id="45" w:name="_Toc19027"/>
      <w:bookmarkStart w:id="46" w:name="_Toc31597"/>
      <w:bookmarkStart w:id="47" w:name="_Toc3165"/>
      <w:bookmarkStart w:id="48" w:name="_Toc22653"/>
      <w:bookmarkStart w:id="49" w:name="_Toc31037"/>
      <w:bookmarkStart w:id="50" w:name="_Toc21021"/>
      <w:r>
        <w:rPr>
          <w:rFonts w:hint="eastAsia"/>
          <w:color w:val="auto"/>
        </w:rPr>
        <w:t xml:space="preserve">1. </w:t>
      </w:r>
      <w:bookmarkEnd w:id="38"/>
      <w:bookmarkEnd w:id="39"/>
      <w:bookmarkEnd w:id="40"/>
      <w:bookmarkEnd w:id="41"/>
      <w:bookmarkEnd w:id="42"/>
      <w:bookmarkEnd w:id="43"/>
      <w:bookmarkEnd w:id="44"/>
      <w:bookmarkEnd w:id="45"/>
      <w:bookmarkEnd w:id="46"/>
      <w:bookmarkEnd w:id="47"/>
      <w:bookmarkEnd w:id="48"/>
      <w:bookmarkEnd w:id="49"/>
      <w:bookmarkEnd w:id="50"/>
      <w:r>
        <w:rPr>
          <w:rFonts w:hint="eastAsia"/>
          <w:color w:val="auto"/>
        </w:rPr>
        <w:t>询比条件</w:t>
      </w:r>
    </w:p>
    <w:p w14:paraId="77616935">
      <w:pPr>
        <w:ind w:firstLine="420"/>
        <w:rPr>
          <w:color w:val="auto"/>
        </w:rPr>
      </w:pPr>
      <w:r>
        <w:rPr>
          <w:rFonts w:hint="eastAsia"/>
          <w:color w:val="auto"/>
        </w:rPr>
        <w:t>采购人：重庆三峡银行股份有限公司</w:t>
      </w:r>
    </w:p>
    <w:p w14:paraId="16562EAF">
      <w:pPr>
        <w:ind w:firstLine="420"/>
        <w:rPr>
          <w:color w:val="auto"/>
        </w:rPr>
      </w:pPr>
      <w:r>
        <w:rPr>
          <w:rFonts w:hint="eastAsia"/>
          <w:color w:val="auto"/>
        </w:rPr>
        <w:t>资金来源：</w:t>
      </w:r>
      <w:r>
        <w:rPr>
          <w:rFonts w:hint="eastAsia"/>
          <w:color w:val="auto"/>
          <w:u w:val="single"/>
        </w:rPr>
        <w:t xml:space="preserve"> 企业自筹 </w:t>
      </w:r>
      <w:r>
        <w:rPr>
          <w:rFonts w:hint="eastAsia"/>
          <w:color w:val="auto"/>
        </w:rPr>
        <w:t>，资金已落实。</w:t>
      </w:r>
    </w:p>
    <w:p w14:paraId="513CCC77">
      <w:pPr>
        <w:pStyle w:val="10"/>
        <w:ind w:firstLine="420"/>
        <w:rPr>
          <w:color w:val="auto"/>
        </w:rPr>
      </w:pPr>
      <w:r>
        <w:rPr>
          <w:rFonts w:hint="eastAsia"/>
          <w:color w:val="auto"/>
        </w:rPr>
        <w:t>项目名称：重庆三峡银行第二代移动作业管理系统建设项目</w:t>
      </w:r>
    </w:p>
    <w:p w14:paraId="5D162901">
      <w:pPr>
        <w:pStyle w:val="3"/>
        <w:rPr>
          <w:color w:val="auto"/>
        </w:rPr>
      </w:pPr>
      <w:bookmarkStart w:id="51" w:name="_Toc22009"/>
      <w:bookmarkStart w:id="52" w:name="_Toc23667"/>
      <w:bookmarkStart w:id="53" w:name="_Toc19608"/>
      <w:bookmarkStart w:id="54" w:name="_Toc20299"/>
      <w:bookmarkStart w:id="55" w:name="_Toc15672"/>
      <w:bookmarkStart w:id="56" w:name="_Toc15871"/>
      <w:bookmarkStart w:id="57" w:name="_Toc492300547"/>
      <w:bookmarkStart w:id="58" w:name="_Toc29603"/>
      <w:bookmarkStart w:id="59" w:name="_Toc31834"/>
      <w:bookmarkStart w:id="60" w:name="_Toc24481"/>
      <w:bookmarkStart w:id="61" w:name="_Toc17362"/>
      <w:bookmarkStart w:id="62" w:name="_Toc13223"/>
      <w:bookmarkStart w:id="63" w:name="_Toc21478"/>
      <w:r>
        <w:rPr>
          <w:rFonts w:hint="eastAsia"/>
          <w:color w:val="auto"/>
        </w:rPr>
        <w:t xml:space="preserve">2. </w:t>
      </w:r>
      <w:bookmarkEnd w:id="51"/>
      <w:bookmarkEnd w:id="52"/>
      <w:bookmarkEnd w:id="53"/>
      <w:bookmarkEnd w:id="54"/>
      <w:bookmarkEnd w:id="55"/>
      <w:bookmarkEnd w:id="56"/>
      <w:bookmarkEnd w:id="57"/>
      <w:bookmarkEnd w:id="58"/>
      <w:bookmarkEnd w:id="59"/>
      <w:bookmarkEnd w:id="60"/>
      <w:bookmarkEnd w:id="61"/>
      <w:bookmarkEnd w:id="62"/>
      <w:bookmarkEnd w:id="63"/>
      <w:r>
        <w:rPr>
          <w:rFonts w:hint="eastAsia"/>
          <w:color w:val="auto"/>
        </w:rPr>
        <w:t>询比内容</w:t>
      </w:r>
    </w:p>
    <w:p w14:paraId="137510DE">
      <w:pPr>
        <w:ind w:firstLine="420"/>
        <w:rPr>
          <w:color w:val="auto"/>
        </w:rPr>
      </w:pPr>
      <w:bookmarkStart w:id="64" w:name="_Hlk536432704"/>
      <w:r>
        <w:rPr>
          <w:rFonts w:hint="eastAsia"/>
          <w:color w:val="auto"/>
        </w:rPr>
        <w:t>2.1 询比范围：建设第二代移动作业平台，以移动柜面对公、对私业务，数智厅堂，移动信贷建设为主体内容，实现集平板、手机端、小程序和PC网页多渠道协同的移动作业管理系统。</w:t>
      </w:r>
    </w:p>
    <w:p w14:paraId="093CC325">
      <w:pPr>
        <w:ind w:firstLine="420"/>
        <w:rPr>
          <w:color w:val="auto"/>
        </w:rPr>
      </w:pPr>
      <w:r>
        <w:rPr>
          <w:rFonts w:hint="eastAsia"/>
          <w:color w:val="auto"/>
        </w:rPr>
        <w:t>2.2 时间要求：以项目合同为准</w:t>
      </w:r>
    </w:p>
    <w:p w14:paraId="096C4447">
      <w:pPr>
        <w:ind w:firstLine="420"/>
        <w:rPr>
          <w:rStyle w:val="57"/>
          <w:rFonts w:hint="default"/>
          <w:color w:val="auto"/>
        </w:rPr>
      </w:pPr>
      <w:r>
        <w:rPr>
          <w:rFonts w:hint="eastAsia"/>
          <w:color w:val="auto"/>
        </w:rPr>
        <w:t>2.3 地点要求：重庆市内，采购人指定地点。</w:t>
      </w:r>
    </w:p>
    <w:bookmarkEnd w:id="64"/>
    <w:p w14:paraId="4C38F7EE">
      <w:pPr>
        <w:pStyle w:val="3"/>
        <w:rPr>
          <w:color w:val="auto"/>
        </w:rPr>
      </w:pPr>
      <w:bookmarkStart w:id="65" w:name="_Toc628"/>
      <w:bookmarkStart w:id="66" w:name="_Toc12661"/>
      <w:bookmarkStart w:id="67" w:name="_Toc24295"/>
      <w:bookmarkStart w:id="68" w:name="_Toc9261"/>
      <w:bookmarkStart w:id="69" w:name="_Toc492300548"/>
      <w:bookmarkStart w:id="70" w:name="_Toc10221"/>
      <w:bookmarkStart w:id="71" w:name="_Toc151"/>
      <w:bookmarkStart w:id="72" w:name="_Toc9779"/>
      <w:bookmarkStart w:id="73" w:name="_Toc20142"/>
      <w:bookmarkStart w:id="74" w:name="_Toc9125"/>
      <w:bookmarkStart w:id="75" w:name="_Toc9991"/>
      <w:bookmarkStart w:id="76" w:name="_Toc26795"/>
      <w:bookmarkStart w:id="77" w:name="_Toc21473"/>
      <w:r>
        <w:rPr>
          <w:rFonts w:hint="eastAsia"/>
          <w:color w:val="auto"/>
        </w:rPr>
        <w:t>3. 响应人资格要求</w:t>
      </w:r>
      <w:bookmarkEnd w:id="65"/>
      <w:bookmarkEnd w:id="66"/>
      <w:bookmarkEnd w:id="67"/>
      <w:bookmarkEnd w:id="68"/>
      <w:bookmarkEnd w:id="69"/>
      <w:bookmarkEnd w:id="70"/>
      <w:bookmarkEnd w:id="71"/>
      <w:bookmarkEnd w:id="72"/>
      <w:bookmarkEnd w:id="73"/>
      <w:bookmarkEnd w:id="74"/>
      <w:bookmarkEnd w:id="75"/>
      <w:bookmarkEnd w:id="76"/>
      <w:bookmarkEnd w:id="77"/>
    </w:p>
    <w:p w14:paraId="7407DC12">
      <w:pPr>
        <w:ind w:firstLine="420"/>
        <w:rPr>
          <w:color w:val="auto"/>
        </w:rPr>
      </w:pPr>
      <w:r>
        <w:rPr>
          <w:rFonts w:hint="eastAsia"/>
          <w:color w:val="auto"/>
        </w:rPr>
        <w:t>3.1 本次询比要求响应人须具备以下条件</w:t>
      </w:r>
    </w:p>
    <w:p w14:paraId="6B9516FD">
      <w:pPr>
        <w:ind w:firstLine="420"/>
        <w:rPr>
          <w:color w:val="auto"/>
        </w:rPr>
      </w:pPr>
      <w:r>
        <w:rPr>
          <w:rFonts w:hint="eastAsia"/>
          <w:color w:val="auto"/>
        </w:rPr>
        <w:t>3.1.1 本次询比要求响应人具备的资质条件：</w:t>
      </w:r>
    </w:p>
    <w:p w14:paraId="04BBF753">
      <w:pPr>
        <w:ind w:firstLine="420"/>
        <w:rPr>
          <w:color w:val="auto"/>
        </w:rPr>
      </w:pPr>
      <w:r>
        <w:rPr>
          <w:rFonts w:hint="eastAsia"/>
          <w:color w:val="auto"/>
        </w:rPr>
        <w:t>（1）响应人具备独立承担民事责任的能力，具备有效的营业执照。</w:t>
      </w:r>
    </w:p>
    <w:p w14:paraId="412D470F">
      <w:pPr>
        <w:ind w:firstLine="420"/>
        <w:rPr>
          <w:color w:val="auto"/>
        </w:rPr>
      </w:pPr>
      <w:r>
        <w:rPr>
          <w:rFonts w:hint="eastAsia"/>
          <w:color w:val="auto"/>
        </w:rPr>
        <w:t>3.1.2 响应人还应具有其他相应的能力，如业绩、人员、资金等。详见询比文件第二章响应人须知前附表第 1.4.1 项内容。</w:t>
      </w:r>
    </w:p>
    <w:p w14:paraId="4CA24493">
      <w:pPr>
        <w:ind w:firstLine="420"/>
        <w:rPr>
          <w:color w:val="auto"/>
        </w:rPr>
      </w:pPr>
      <w:r>
        <w:rPr>
          <w:rFonts w:hint="eastAsia"/>
          <w:color w:val="auto"/>
        </w:rPr>
        <w:t>3.2 本项目不接受联合体响应。</w:t>
      </w:r>
    </w:p>
    <w:p w14:paraId="2832F410">
      <w:pPr>
        <w:pStyle w:val="3"/>
        <w:rPr>
          <w:color w:val="auto"/>
        </w:rPr>
      </w:pPr>
      <w:bookmarkStart w:id="78" w:name="_Toc10442"/>
      <w:bookmarkStart w:id="79" w:name="_Toc200359241"/>
      <w:bookmarkStart w:id="80" w:name="_Toc6775"/>
      <w:bookmarkStart w:id="81" w:name="_Toc430530419"/>
      <w:bookmarkStart w:id="82" w:name="_Toc287607731"/>
      <w:bookmarkStart w:id="83" w:name="_Toc6233"/>
      <w:bookmarkStart w:id="84" w:name="_Toc2063"/>
      <w:bookmarkStart w:id="85" w:name="_Toc509218695"/>
      <w:bookmarkStart w:id="86" w:name="_Toc224103302"/>
      <w:bookmarkStart w:id="87" w:name="_Toc4902"/>
      <w:bookmarkStart w:id="88" w:name="_Toc3527"/>
      <w:bookmarkStart w:id="89" w:name="_Toc5188"/>
      <w:bookmarkStart w:id="90" w:name="_Toc11187"/>
      <w:bookmarkStart w:id="91" w:name="_Toc277082539"/>
      <w:bookmarkStart w:id="92" w:name="_Toc200359430"/>
      <w:bookmarkStart w:id="93" w:name="_Toc26390"/>
      <w:bookmarkStart w:id="94" w:name="_Toc287620670"/>
      <w:bookmarkStart w:id="95" w:name="_Toc31872"/>
      <w:bookmarkStart w:id="96" w:name="_Toc5895"/>
      <w:bookmarkStart w:id="97" w:name="_Toc30008"/>
      <w:bookmarkStart w:id="98" w:name="_Toc492300549"/>
      <w:bookmarkStart w:id="99" w:name="_Toc19369"/>
      <w:r>
        <w:rPr>
          <w:rFonts w:hint="eastAsia"/>
          <w:color w:val="auto"/>
        </w:rPr>
        <w:t>4</w:t>
      </w:r>
      <w:r>
        <w:rPr>
          <w:color w:val="auto"/>
        </w:rPr>
        <w:t xml:space="preserve">. </w:t>
      </w:r>
      <w:r>
        <w:rPr>
          <w:rFonts w:hint="eastAsia"/>
          <w:color w:val="auto"/>
        </w:rPr>
        <w:t>询比文件</w:t>
      </w:r>
      <w:r>
        <w:rPr>
          <w:color w:val="auto"/>
        </w:rPr>
        <w:t>的获取</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36DBB659">
      <w:pPr>
        <w:ind w:firstLine="420"/>
        <w:rPr>
          <w:color w:val="auto"/>
        </w:rPr>
      </w:pPr>
      <w:r>
        <w:rPr>
          <w:rFonts w:hint="eastAsia"/>
          <w:color w:val="auto"/>
        </w:rPr>
        <w:t xml:space="preserve">4.1 </w:t>
      </w:r>
      <w:r>
        <w:rPr>
          <w:color w:val="auto"/>
        </w:rPr>
        <w:t>本</w:t>
      </w:r>
      <w:r>
        <w:rPr>
          <w:rFonts w:hint="eastAsia"/>
          <w:color w:val="auto"/>
        </w:rPr>
        <w:t>项目</w:t>
      </w:r>
      <w:r>
        <w:rPr>
          <w:color w:val="auto"/>
        </w:rPr>
        <w:t>采用</w:t>
      </w:r>
      <w:r>
        <w:rPr>
          <w:rFonts w:hint="eastAsia"/>
          <w:color w:val="auto"/>
        </w:rPr>
        <w:t>全流程电子采购</w:t>
      </w:r>
      <w:r>
        <w:rPr>
          <w:color w:val="auto"/>
        </w:rPr>
        <w:t>，</w:t>
      </w:r>
      <w:r>
        <w:rPr>
          <w:rFonts w:hint="eastAsia"/>
          <w:color w:val="auto"/>
        </w:rPr>
        <w:t>响应人</w:t>
      </w:r>
      <w:r>
        <w:rPr>
          <w:color w:val="auto"/>
        </w:rPr>
        <w:t>在</w:t>
      </w:r>
      <w:r>
        <w:rPr>
          <w:rFonts w:hint="eastAsia"/>
          <w:color w:val="auto"/>
        </w:rPr>
        <w:t>参与项目</w:t>
      </w:r>
      <w:r>
        <w:rPr>
          <w:color w:val="auto"/>
        </w:rPr>
        <w:t>前可在</w:t>
      </w:r>
      <w:r>
        <w:rPr>
          <w:rFonts w:hint="eastAsia"/>
          <w:color w:val="auto"/>
        </w:rPr>
        <w:t>重庆市公共资源交易网</w:t>
      </w:r>
      <w:r>
        <w:rPr>
          <w:color w:val="auto"/>
        </w:rPr>
        <w:t>下载</w:t>
      </w:r>
      <w:r>
        <w:rPr>
          <w:rFonts w:hint="eastAsia"/>
          <w:color w:val="auto"/>
        </w:rPr>
        <w:t>询比文件</w:t>
      </w:r>
      <w:r>
        <w:rPr>
          <w:color w:val="auto"/>
        </w:rPr>
        <w:t>资料。参与</w:t>
      </w:r>
      <w:r>
        <w:rPr>
          <w:rFonts w:hint="eastAsia"/>
          <w:color w:val="auto"/>
        </w:rPr>
        <w:t>项目</w:t>
      </w:r>
      <w:r>
        <w:rPr>
          <w:color w:val="auto"/>
        </w:rPr>
        <w:t>的</w:t>
      </w:r>
      <w:r>
        <w:rPr>
          <w:rFonts w:hint="eastAsia"/>
          <w:color w:val="auto"/>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rPr>
          <w:color w:val="auto"/>
        </w:rPr>
        <w:t>。</w:t>
      </w:r>
    </w:p>
    <w:p w14:paraId="415238DE">
      <w:pPr>
        <w:ind w:firstLine="420"/>
        <w:rPr>
          <w:color w:val="auto"/>
        </w:rPr>
      </w:pPr>
      <w:r>
        <w:rPr>
          <w:rFonts w:hint="eastAsia"/>
          <w:color w:val="auto"/>
        </w:rPr>
        <w:t>4.2 响应人可在</w:t>
      </w:r>
      <w:r>
        <w:rPr>
          <w:rFonts w:hint="eastAsia"/>
          <w:color w:val="auto"/>
          <w:u w:val="single"/>
          <w:lang w:val="en-US" w:eastAsia="zh-CN"/>
        </w:rPr>
        <w:t>2026</w:t>
      </w:r>
      <w:r>
        <w:rPr>
          <w:rFonts w:hint="eastAsia"/>
          <w:color w:val="auto"/>
        </w:rPr>
        <w:t>年</w:t>
      </w:r>
      <w:r>
        <w:rPr>
          <w:rFonts w:hint="eastAsia"/>
          <w:color w:val="auto"/>
          <w:u w:val="single"/>
          <w:lang w:val="en-US" w:eastAsia="zh-CN"/>
        </w:rPr>
        <w:t>09</w:t>
      </w:r>
      <w:r>
        <w:rPr>
          <w:rFonts w:hint="eastAsia"/>
          <w:color w:val="auto"/>
        </w:rPr>
        <w:t>月</w:t>
      </w:r>
      <w:r>
        <w:rPr>
          <w:rFonts w:hint="eastAsia"/>
          <w:color w:val="auto"/>
          <w:u w:val="single"/>
          <w:lang w:val="en-US" w:eastAsia="zh-CN"/>
        </w:rPr>
        <w:t>04</w:t>
      </w:r>
      <w:r>
        <w:rPr>
          <w:rFonts w:hint="eastAsia"/>
          <w:color w:val="auto"/>
        </w:rPr>
        <w:t>日</w:t>
      </w:r>
      <w:r>
        <w:rPr>
          <w:rFonts w:hint="eastAsia"/>
          <w:color w:val="auto"/>
          <w:u w:val="single"/>
          <w:lang w:val="en-US" w:eastAsia="zh-CN"/>
        </w:rPr>
        <w:t>17</w:t>
      </w:r>
      <w:r>
        <w:rPr>
          <w:rFonts w:hint="eastAsia"/>
          <w:color w:val="auto"/>
        </w:rPr>
        <w:t>时</w:t>
      </w:r>
      <w:r>
        <w:rPr>
          <w:rFonts w:hint="eastAsia"/>
          <w:color w:val="auto"/>
          <w:u w:val="single"/>
          <w:lang w:val="en-US" w:eastAsia="zh-CN"/>
        </w:rPr>
        <w:t>00</w:t>
      </w:r>
      <w:r>
        <w:rPr>
          <w:rFonts w:hint="eastAsia"/>
          <w:color w:val="auto"/>
        </w:rPr>
        <w:t>分（北京时间）前在重庆市公共资源交易网本项目询比公告网页下方“我要提问”栏提出疑问。</w:t>
      </w:r>
    </w:p>
    <w:p w14:paraId="01EF775B">
      <w:pPr>
        <w:ind w:firstLine="420"/>
        <w:rPr>
          <w:color w:val="auto"/>
        </w:rPr>
      </w:pPr>
      <w:r>
        <w:rPr>
          <w:rFonts w:hint="eastAsia"/>
          <w:color w:val="auto"/>
        </w:rPr>
        <w:t>4.3 采购人应在重庆市公共资源交易网发布澄清或修改。</w:t>
      </w:r>
    </w:p>
    <w:p w14:paraId="1E16A52A">
      <w:pPr>
        <w:pStyle w:val="3"/>
        <w:rPr>
          <w:color w:val="auto"/>
        </w:rPr>
      </w:pPr>
      <w:bookmarkStart w:id="100" w:name="_Toc277082540"/>
      <w:bookmarkStart w:id="101" w:name="_Toc14639"/>
      <w:bookmarkStart w:id="102" w:name="_Toc287620671"/>
      <w:bookmarkStart w:id="103" w:name="_Toc21073"/>
      <w:bookmarkStart w:id="104" w:name="_Toc15714"/>
      <w:bookmarkStart w:id="105" w:name="_Toc6579"/>
      <w:bookmarkStart w:id="106" w:name="_Toc509218696"/>
      <w:bookmarkStart w:id="107" w:name="_Toc287607732"/>
      <w:bookmarkStart w:id="108" w:name="_Toc14552"/>
      <w:bookmarkStart w:id="109" w:name="_Toc23837"/>
      <w:bookmarkStart w:id="110" w:name="_Toc430530420"/>
      <w:bookmarkStart w:id="111" w:name="_Toc2314"/>
      <w:bookmarkStart w:id="112" w:name="_Toc23629"/>
      <w:bookmarkStart w:id="113" w:name="_Toc224103303"/>
      <w:bookmarkStart w:id="114" w:name="_Toc8204"/>
      <w:bookmarkStart w:id="115" w:name="_Toc200359242"/>
      <w:bookmarkStart w:id="116" w:name="_Toc9110"/>
      <w:bookmarkStart w:id="117" w:name="_Toc27424"/>
      <w:bookmarkStart w:id="118" w:name="_Toc200359431"/>
      <w:bookmarkStart w:id="119" w:name="_Toc25061"/>
      <w:r>
        <w:rPr>
          <w:rFonts w:hint="eastAsia"/>
          <w:color w:val="auto"/>
        </w:rPr>
        <w:t>5</w:t>
      </w:r>
      <w:r>
        <w:rPr>
          <w:color w:val="auto"/>
        </w:rPr>
        <w:t xml:space="preserve">. </w:t>
      </w:r>
      <w:r>
        <w:rPr>
          <w:rFonts w:hint="eastAsia"/>
          <w:color w:val="auto"/>
        </w:rPr>
        <w:t>响应文件</w:t>
      </w:r>
      <w:r>
        <w:rPr>
          <w:color w:val="auto"/>
        </w:rPr>
        <w:t>的递交</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80C5710">
      <w:pPr>
        <w:ind w:firstLine="420"/>
        <w:rPr>
          <w:color w:val="auto"/>
        </w:rPr>
      </w:pPr>
      <w:r>
        <w:rPr>
          <w:rFonts w:hint="eastAsia"/>
          <w:color w:val="auto"/>
        </w:rPr>
        <w:t>5</w:t>
      </w:r>
      <w:r>
        <w:rPr>
          <w:color w:val="auto"/>
        </w:rPr>
        <w:t xml:space="preserve">.1 </w:t>
      </w:r>
      <w:r>
        <w:rPr>
          <w:rFonts w:hint="eastAsia"/>
          <w:color w:val="auto"/>
        </w:rPr>
        <w:t>响应文件</w:t>
      </w:r>
      <w:r>
        <w:rPr>
          <w:color w:val="auto"/>
        </w:rPr>
        <w:t>递交的截止时间（</w:t>
      </w:r>
      <w:r>
        <w:rPr>
          <w:rFonts w:hint="eastAsia"/>
          <w:color w:val="auto"/>
        </w:rPr>
        <w:t>响应截止时间</w:t>
      </w:r>
      <w:r>
        <w:rPr>
          <w:color w:val="auto"/>
        </w:rPr>
        <w:t>，下同）</w:t>
      </w:r>
      <w:r>
        <w:rPr>
          <w:rFonts w:hint="eastAsia"/>
          <w:color w:val="auto"/>
        </w:rPr>
        <w:t>为</w:t>
      </w:r>
      <w:r>
        <w:rPr>
          <w:rFonts w:hint="eastAsia"/>
          <w:color w:val="auto"/>
          <w:u w:val="single"/>
          <w:lang w:val="en-US" w:eastAsia="zh-CN"/>
        </w:rPr>
        <w:t>2026</w:t>
      </w:r>
      <w:r>
        <w:rPr>
          <w:rFonts w:hint="eastAsia"/>
          <w:color w:val="auto"/>
        </w:rPr>
        <w:t>年</w:t>
      </w:r>
      <w:r>
        <w:rPr>
          <w:rFonts w:hint="eastAsia"/>
          <w:color w:val="auto"/>
          <w:u w:val="single"/>
          <w:lang w:val="en-US" w:eastAsia="zh-CN"/>
        </w:rPr>
        <w:t>09</w:t>
      </w:r>
      <w:r>
        <w:rPr>
          <w:rFonts w:hint="eastAsia"/>
          <w:color w:val="auto"/>
        </w:rPr>
        <w:t>月</w:t>
      </w:r>
      <w:r>
        <w:rPr>
          <w:rFonts w:hint="eastAsia"/>
          <w:color w:val="auto"/>
          <w:u w:val="single"/>
          <w:lang w:val="en-US" w:eastAsia="zh-CN"/>
        </w:rPr>
        <w:t>16</w:t>
      </w:r>
      <w:r>
        <w:rPr>
          <w:rFonts w:hint="eastAsia"/>
          <w:color w:val="auto"/>
        </w:rPr>
        <w:t>日</w:t>
      </w:r>
      <w:r>
        <w:rPr>
          <w:rFonts w:hint="eastAsia"/>
          <w:color w:val="auto"/>
          <w:u w:val="single"/>
          <w:lang w:val="en-US" w:eastAsia="zh-CN"/>
        </w:rPr>
        <w:t>09</w:t>
      </w:r>
      <w:r>
        <w:rPr>
          <w:rFonts w:hint="eastAsia"/>
          <w:color w:val="auto"/>
        </w:rPr>
        <w:t>时</w:t>
      </w:r>
      <w:r>
        <w:rPr>
          <w:rFonts w:hint="eastAsia"/>
          <w:color w:val="auto"/>
          <w:u w:val="single"/>
          <w:lang w:val="en-US" w:eastAsia="zh-CN"/>
        </w:rPr>
        <w:t>30</w:t>
      </w:r>
      <w:r>
        <w:rPr>
          <w:rFonts w:hint="eastAsia"/>
          <w:color w:val="auto"/>
        </w:rPr>
        <w:t>分（北京时间）</w:t>
      </w:r>
      <w:r>
        <w:rPr>
          <w:color w:val="auto"/>
        </w:rPr>
        <w:t>，</w:t>
      </w:r>
      <w:r>
        <w:rPr>
          <w:rFonts w:hint="eastAsia"/>
          <w:color w:val="auto"/>
        </w:rPr>
        <w:t>响应人应当在响应截止时间前，通过互联网使用CA数字证书登录重庆市电子招投标系统，将加密的电子响应文件上传。</w:t>
      </w:r>
    </w:p>
    <w:p w14:paraId="03A00BDD">
      <w:pPr>
        <w:ind w:firstLine="420"/>
        <w:rPr>
          <w:color w:val="auto"/>
        </w:rPr>
      </w:pPr>
      <w:r>
        <w:rPr>
          <w:rFonts w:hint="eastAsia"/>
          <w:color w:val="auto"/>
        </w:rPr>
        <w:t>5</w:t>
      </w:r>
      <w:r>
        <w:rPr>
          <w:color w:val="auto"/>
        </w:rPr>
        <w:t xml:space="preserve">.2 </w:t>
      </w:r>
      <w:r>
        <w:rPr>
          <w:rFonts w:hint="eastAsia"/>
          <w:color w:val="auto"/>
        </w:rPr>
        <w:t>未按要求加密的电子响应文件，将无法上传至重庆市电子招投标系统，逾期未完成上传响应文件的，视为撤回响应文件。</w:t>
      </w:r>
    </w:p>
    <w:bookmarkEnd w:id="98"/>
    <w:bookmarkEnd w:id="99"/>
    <w:p w14:paraId="4BA0C2AC">
      <w:pPr>
        <w:pStyle w:val="3"/>
        <w:rPr>
          <w:color w:val="auto"/>
        </w:rPr>
      </w:pPr>
      <w:bookmarkStart w:id="120" w:name="_Toc21928"/>
      <w:bookmarkStart w:id="121" w:name="_Toc18124"/>
      <w:bookmarkStart w:id="122" w:name="_Toc20172"/>
      <w:bookmarkStart w:id="123" w:name="_Toc492300551"/>
      <w:bookmarkStart w:id="124" w:name="_Toc3258"/>
      <w:bookmarkStart w:id="125" w:name="_Toc11935"/>
      <w:bookmarkStart w:id="126" w:name="_Toc1610"/>
      <w:bookmarkStart w:id="127" w:name="_Toc31327"/>
      <w:bookmarkStart w:id="128" w:name="_Toc20062"/>
      <w:bookmarkStart w:id="129" w:name="_Toc4450"/>
      <w:bookmarkStart w:id="130" w:name="_Toc24240"/>
      <w:bookmarkStart w:id="131" w:name="_Toc27842"/>
      <w:bookmarkStart w:id="132" w:name="_Toc4346"/>
      <w:r>
        <w:rPr>
          <w:rFonts w:hint="eastAsia"/>
          <w:color w:val="auto"/>
        </w:rPr>
        <w:t>6. 发布公告的媒介</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020B4337">
      <w:pPr>
        <w:ind w:firstLine="420"/>
        <w:rPr>
          <w:color w:val="auto"/>
        </w:rPr>
      </w:pPr>
      <w:r>
        <w:rPr>
          <w:rFonts w:hint="eastAsia"/>
          <w:color w:val="auto"/>
        </w:rPr>
        <w:t>本次询比公告在重庆市公共资源交易网上发布。</w:t>
      </w:r>
    </w:p>
    <w:p w14:paraId="7CB9B21A">
      <w:pPr>
        <w:pStyle w:val="3"/>
        <w:rPr>
          <w:color w:val="auto"/>
        </w:rPr>
      </w:pPr>
      <w:bookmarkStart w:id="133" w:name="_Toc9366"/>
      <w:bookmarkStart w:id="134" w:name="_Toc8501"/>
      <w:bookmarkStart w:id="135" w:name="_Toc6030"/>
      <w:bookmarkStart w:id="136" w:name="_Toc6875"/>
      <w:bookmarkStart w:id="137" w:name="_Toc492300552"/>
      <w:bookmarkStart w:id="138" w:name="_Toc903"/>
      <w:bookmarkStart w:id="139" w:name="_Toc14113"/>
      <w:bookmarkStart w:id="140" w:name="_Toc30480"/>
      <w:bookmarkStart w:id="141" w:name="_Toc2931"/>
      <w:bookmarkStart w:id="142" w:name="_Toc18933"/>
      <w:bookmarkStart w:id="143" w:name="_Toc19538"/>
      <w:bookmarkStart w:id="144" w:name="_Toc11678"/>
      <w:bookmarkStart w:id="145" w:name="_Toc9586"/>
      <w:r>
        <w:rPr>
          <w:rFonts w:hint="eastAsia"/>
          <w:color w:val="auto"/>
        </w:rPr>
        <w:t>7. 联系方式</w:t>
      </w:r>
      <w:bookmarkEnd w:id="133"/>
      <w:bookmarkEnd w:id="134"/>
      <w:bookmarkEnd w:id="135"/>
      <w:bookmarkEnd w:id="136"/>
      <w:bookmarkEnd w:id="137"/>
      <w:bookmarkEnd w:id="138"/>
      <w:bookmarkEnd w:id="139"/>
      <w:bookmarkEnd w:id="140"/>
      <w:bookmarkEnd w:id="141"/>
      <w:bookmarkEnd w:id="142"/>
      <w:bookmarkEnd w:id="143"/>
      <w:bookmarkEnd w:id="144"/>
      <w:bookmarkEnd w:id="145"/>
    </w:p>
    <w:tbl>
      <w:tblPr>
        <w:tblStyle w:val="19"/>
        <w:tblW w:w="0" w:type="auto"/>
        <w:tblInd w:w="0" w:type="dxa"/>
        <w:tblLayout w:type="autofit"/>
        <w:tblCellMar>
          <w:top w:w="0" w:type="dxa"/>
          <w:left w:w="108" w:type="dxa"/>
          <w:bottom w:w="0" w:type="dxa"/>
          <w:right w:w="108" w:type="dxa"/>
        </w:tblCellMar>
      </w:tblPr>
      <w:tblGrid>
        <w:gridCol w:w="3943"/>
        <w:gridCol w:w="4480"/>
      </w:tblGrid>
      <w:tr w14:paraId="33975351">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371B9B2A">
            <w:pPr>
              <w:ind w:firstLine="0" w:firstLineChars="0"/>
              <w:jc w:val="left"/>
              <w:rPr>
                <w:color w:val="auto"/>
              </w:rPr>
            </w:pPr>
            <w:bookmarkStart w:id="146" w:name="_Toc300834930"/>
            <w:bookmarkEnd w:id="146"/>
            <w:bookmarkStart w:id="147" w:name="_Toc361508563"/>
            <w:bookmarkEnd w:id="147"/>
            <w:bookmarkStart w:id="148" w:name="_Toc384308185"/>
            <w:bookmarkEnd w:id="148"/>
            <w:bookmarkStart w:id="149" w:name="_Toc30817"/>
            <w:bookmarkEnd w:id="149"/>
            <w:bookmarkStart w:id="150" w:name="_Toc247513934"/>
            <w:bookmarkEnd w:id="150"/>
            <w:bookmarkStart w:id="151" w:name="_Toc247513935"/>
            <w:bookmarkEnd w:id="151"/>
            <w:bookmarkStart w:id="152" w:name="_Toc369531498"/>
            <w:bookmarkEnd w:id="152"/>
            <w:bookmarkStart w:id="153" w:name="_Toc247527536"/>
            <w:bookmarkEnd w:id="153"/>
            <w:bookmarkStart w:id="154" w:name="_Toc152045512"/>
            <w:bookmarkEnd w:id="154"/>
            <w:bookmarkStart w:id="155" w:name="_Toc384308187"/>
            <w:bookmarkEnd w:id="155"/>
            <w:bookmarkStart w:id="156" w:name="_Toc10785"/>
            <w:bookmarkEnd w:id="156"/>
            <w:bookmarkStart w:id="157" w:name="_Toc361508562"/>
            <w:bookmarkEnd w:id="157"/>
            <w:bookmarkStart w:id="158" w:name="_Toc369531495"/>
            <w:bookmarkEnd w:id="158"/>
            <w:bookmarkStart w:id="159" w:name="_Toc352691456"/>
            <w:bookmarkEnd w:id="159"/>
            <w:bookmarkStart w:id="160" w:name="_Toc369531497"/>
            <w:bookmarkEnd w:id="160"/>
            <w:bookmarkStart w:id="161" w:name="_Toc300834927"/>
            <w:bookmarkEnd w:id="161"/>
            <w:bookmarkStart w:id="162" w:name="_Toc144974481"/>
            <w:bookmarkEnd w:id="162"/>
            <w:bookmarkStart w:id="163" w:name="_Toc247527535"/>
            <w:bookmarkEnd w:id="163"/>
            <w:bookmarkStart w:id="164" w:name="_Toc384308188"/>
            <w:bookmarkEnd w:id="164"/>
            <w:bookmarkStart w:id="165" w:name="_Toc352691453"/>
            <w:bookmarkEnd w:id="165"/>
            <w:bookmarkStart w:id="166" w:name="_Toc361508560"/>
            <w:bookmarkEnd w:id="166"/>
            <w:bookmarkStart w:id="167" w:name="_Toc152042288"/>
            <w:bookmarkEnd w:id="167"/>
            <w:bookmarkStart w:id="168" w:name="_Toc300834929"/>
            <w:bookmarkEnd w:id="168"/>
            <w:bookmarkStart w:id="169" w:name="_Toc152042289"/>
            <w:bookmarkEnd w:id="169"/>
            <w:bookmarkStart w:id="170" w:name="_Toc152045513"/>
            <w:bookmarkEnd w:id="170"/>
            <w:bookmarkStart w:id="171" w:name="_Toc144974480"/>
            <w:bookmarkEnd w:id="171"/>
            <w:bookmarkStart w:id="172" w:name="_Toc352691455"/>
            <w:bookmarkEnd w:id="172"/>
            <w:bookmarkStart w:id="173" w:name="_Toc17972"/>
            <w:bookmarkEnd w:id="173"/>
            <w:r>
              <w:rPr>
                <w:rFonts w:hint="eastAsia"/>
                <w:color w:val="auto"/>
              </w:rPr>
              <w:t>项目需求咨询</w:t>
            </w:r>
          </w:p>
        </w:tc>
      </w:tr>
      <w:tr w14:paraId="4E699C1A">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5905AAAD">
            <w:pPr>
              <w:ind w:firstLine="0" w:firstLineChars="0"/>
              <w:jc w:val="left"/>
              <w:rPr>
                <w:rFonts w:cs="宋体"/>
                <w:color w:val="auto"/>
                <w:szCs w:val="21"/>
              </w:rPr>
            </w:pPr>
            <w:r>
              <w:rPr>
                <w:rFonts w:hint="eastAsia"/>
                <w:color w:val="auto"/>
              </w:rPr>
              <w:t>项目联系人：秦老师、罗老师</w:t>
            </w:r>
          </w:p>
        </w:tc>
        <w:tc>
          <w:tcPr>
            <w:tcW w:w="4480" w:type="dxa"/>
            <w:tcBorders>
              <w:top w:val="nil"/>
              <w:left w:val="nil"/>
              <w:bottom w:val="nil"/>
              <w:right w:val="single" w:color="auto" w:sz="4" w:space="0"/>
            </w:tcBorders>
          </w:tcPr>
          <w:p w14:paraId="726B3376">
            <w:pPr>
              <w:ind w:firstLine="0" w:firstLineChars="0"/>
              <w:jc w:val="left"/>
              <w:rPr>
                <w:rFonts w:cs="宋体"/>
                <w:color w:val="auto"/>
                <w:szCs w:val="21"/>
              </w:rPr>
            </w:pPr>
            <w:r>
              <w:rPr>
                <w:rFonts w:hint="eastAsia"/>
                <w:color w:val="auto"/>
              </w:rPr>
              <w:t>联系方式：023-88890085、15123392594</w:t>
            </w:r>
          </w:p>
        </w:tc>
      </w:tr>
      <w:tr w14:paraId="0F2BCD89">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3F48C83">
            <w:pPr>
              <w:ind w:firstLine="0" w:firstLineChars="0"/>
              <w:jc w:val="left"/>
              <w:rPr>
                <w:color w:val="auto"/>
              </w:rPr>
            </w:pPr>
          </w:p>
        </w:tc>
      </w:tr>
      <w:tr w14:paraId="5B872C9B">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E50E890">
            <w:pPr>
              <w:ind w:firstLine="0" w:firstLineChars="0"/>
              <w:jc w:val="left"/>
              <w:rPr>
                <w:color w:val="auto"/>
              </w:rPr>
            </w:pPr>
            <w:r>
              <w:rPr>
                <w:rFonts w:hint="eastAsia"/>
                <w:color w:val="auto"/>
              </w:rPr>
              <w:t>项目流程咨询</w:t>
            </w:r>
          </w:p>
        </w:tc>
      </w:tr>
      <w:tr w14:paraId="47D01A91">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B08DAE1">
            <w:pPr>
              <w:ind w:firstLine="0" w:firstLineChars="0"/>
              <w:jc w:val="left"/>
              <w:rPr>
                <w:color w:val="auto"/>
              </w:rPr>
            </w:pPr>
            <w:r>
              <w:rPr>
                <w:rFonts w:hint="eastAsia"/>
                <w:color w:val="auto"/>
              </w:rPr>
              <w:t>平台服务机构：重庆联合产权交易所集团股份有限公司</w:t>
            </w:r>
          </w:p>
        </w:tc>
      </w:tr>
      <w:tr w14:paraId="1276EDF9">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541C2A77">
            <w:pPr>
              <w:ind w:firstLine="0" w:firstLineChars="0"/>
              <w:jc w:val="left"/>
              <w:rPr>
                <w:rFonts w:cs="宋体"/>
                <w:color w:val="auto"/>
                <w:szCs w:val="21"/>
              </w:rPr>
            </w:pPr>
            <w:r>
              <w:rPr>
                <w:rFonts w:hint="eastAsia"/>
                <w:color w:val="auto"/>
              </w:rPr>
              <w:t>平台联系人：罗老师</w:t>
            </w:r>
          </w:p>
        </w:tc>
        <w:tc>
          <w:tcPr>
            <w:tcW w:w="4480" w:type="dxa"/>
            <w:tcBorders>
              <w:top w:val="nil"/>
              <w:left w:val="nil"/>
              <w:bottom w:val="nil"/>
              <w:right w:val="single" w:color="auto" w:sz="4" w:space="0"/>
            </w:tcBorders>
          </w:tcPr>
          <w:p w14:paraId="1E53A63F">
            <w:pPr>
              <w:ind w:firstLine="0" w:firstLineChars="0"/>
              <w:jc w:val="left"/>
              <w:rPr>
                <w:rFonts w:cs="宋体"/>
                <w:color w:val="auto"/>
                <w:szCs w:val="21"/>
              </w:rPr>
            </w:pPr>
            <w:r>
              <w:rPr>
                <w:rFonts w:hint="eastAsia"/>
                <w:color w:val="auto"/>
              </w:rPr>
              <w:t>联系方式：023-63621694</w:t>
            </w:r>
          </w:p>
        </w:tc>
      </w:tr>
      <w:tr w14:paraId="7F681E70">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B3AE87E">
            <w:pPr>
              <w:ind w:firstLine="0" w:firstLineChars="0"/>
              <w:jc w:val="left"/>
              <w:rPr>
                <w:color w:val="auto"/>
              </w:rPr>
            </w:pPr>
            <w:r>
              <w:rPr>
                <w:rFonts w:hint="eastAsia"/>
                <w:color w:val="auto"/>
              </w:rPr>
              <w:t>技术支持联系方式：023-63153651</w:t>
            </w:r>
          </w:p>
        </w:tc>
      </w:tr>
      <w:tr w14:paraId="7B01859F">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FF69320">
            <w:pPr>
              <w:ind w:firstLine="0" w:firstLineChars="0"/>
              <w:jc w:val="left"/>
              <w:rPr>
                <w:color w:val="auto"/>
              </w:rPr>
            </w:pPr>
          </w:p>
        </w:tc>
      </w:tr>
      <w:tr w14:paraId="728EF06E">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2B394C92">
            <w:pPr>
              <w:ind w:firstLine="0" w:firstLineChars="0"/>
              <w:jc w:val="left"/>
              <w:rPr>
                <w:color w:val="auto"/>
              </w:rPr>
            </w:pPr>
            <w:r>
              <w:rPr>
                <w:rFonts w:hint="eastAsia"/>
                <w:color w:val="auto"/>
              </w:rPr>
              <w:t>采购人联系方式</w:t>
            </w:r>
          </w:p>
        </w:tc>
      </w:tr>
      <w:tr w14:paraId="7D9A8A58">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72EB1FB4">
            <w:pPr>
              <w:ind w:firstLine="0" w:firstLineChars="0"/>
              <w:jc w:val="left"/>
              <w:rPr>
                <w:rFonts w:cs="宋体"/>
                <w:color w:val="auto"/>
                <w:szCs w:val="21"/>
              </w:rPr>
            </w:pPr>
            <w:r>
              <w:rPr>
                <w:rFonts w:hint="eastAsia"/>
                <w:color w:val="auto"/>
              </w:rPr>
              <w:t>联系人：杨老师</w:t>
            </w:r>
          </w:p>
        </w:tc>
        <w:tc>
          <w:tcPr>
            <w:tcW w:w="4480" w:type="dxa"/>
            <w:tcBorders>
              <w:top w:val="nil"/>
              <w:left w:val="nil"/>
              <w:bottom w:val="nil"/>
              <w:right w:val="single" w:color="auto" w:sz="4" w:space="0"/>
            </w:tcBorders>
          </w:tcPr>
          <w:p w14:paraId="3A2E9601">
            <w:pPr>
              <w:ind w:firstLine="0" w:firstLineChars="0"/>
              <w:jc w:val="left"/>
              <w:rPr>
                <w:rFonts w:cs="宋体"/>
                <w:color w:val="auto"/>
                <w:szCs w:val="21"/>
              </w:rPr>
            </w:pPr>
            <w:r>
              <w:rPr>
                <w:rFonts w:hint="eastAsia"/>
                <w:color w:val="auto"/>
              </w:rPr>
              <w:t>联系方式：023-88890381</w:t>
            </w:r>
          </w:p>
        </w:tc>
      </w:tr>
      <w:tr w14:paraId="59F3DD31">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17594D24">
            <w:pPr>
              <w:ind w:firstLine="0" w:firstLineChars="0"/>
              <w:jc w:val="left"/>
              <w:rPr>
                <w:color w:val="auto"/>
              </w:rPr>
            </w:pPr>
            <w:r>
              <w:rPr>
                <w:rFonts w:hint="eastAsia"/>
                <w:color w:val="auto"/>
              </w:rPr>
              <w:t>采购人地址：重庆市</w:t>
            </w:r>
            <w:r>
              <w:rPr>
                <w:rFonts w:hint="eastAsia" w:ascii="宋体"/>
                <w:color w:val="auto"/>
              </w:rPr>
              <w:t>两江新区</w:t>
            </w:r>
            <w:r>
              <w:rPr>
                <w:rFonts w:hint="eastAsia"/>
                <w:color w:val="auto"/>
              </w:rPr>
              <w:t>嘉州路88号中渝国际都会4号写字楼21层</w:t>
            </w:r>
          </w:p>
        </w:tc>
      </w:tr>
    </w:tbl>
    <w:p w14:paraId="068C95A1">
      <w:pPr>
        <w:ind w:firstLine="420"/>
        <w:rPr>
          <w:color w:val="auto"/>
        </w:rPr>
      </w:pPr>
    </w:p>
    <w:p w14:paraId="36A48504">
      <w:pPr>
        <w:ind w:firstLine="420"/>
        <w:rPr>
          <w:color w:val="auto"/>
        </w:rPr>
      </w:pPr>
    </w:p>
    <w:p w14:paraId="36FE4870">
      <w:pPr>
        <w:ind w:firstLine="420"/>
        <w:jc w:val="right"/>
        <w:rPr>
          <w:rFonts w:hint="eastAsia" w:ascii="宋体" w:hAnsi="宋体" w:cs="宋体"/>
          <w:color w:val="auto"/>
        </w:rPr>
      </w:pPr>
    </w:p>
    <w:p w14:paraId="706A8C87">
      <w:pPr>
        <w:ind w:firstLine="420"/>
        <w:rPr>
          <w:color w:val="auto"/>
        </w:rPr>
      </w:pPr>
      <w:bookmarkStart w:id="174" w:name="_Toc31594"/>
      <w:bookmarkStart w:id="175" w:name="_Toc13951"/>
      <w:r>
        <w:rPr>
          <w:rFonts w:hint="eastAsia"/>
          <w:color w:val="auto"/>
        </w:rPr>
        <w:br w:type="page"/>
      </w:r>
    </w:p>
    <w:p w14:paraId="1B8CB2DA">
      <w:pPr>
        <w:pStyle w:val="2"/>
        <w:rPr>
          <w:color w:val="auto"/>
        </w:rPr>
      </w:pPr>
      <w:bookmarkStart w:id="176" w:name="_Toc7837"/>
      <w:bookmarkStart w:id="177" w:name="_Toc6235"/>
      <w:bookmarkStart w:id="178" w:name="_Toc2275"/>
      <w:bookmarkStart w:id="179" w:name="_Toc24278"/>
      <w:bookmarkStart w:id="180" w:name="_Toc22838"/>
      <w:bookmarkStart w:id="181" w:name="_Toc14865"/>
      <w:bookmarkStart w:id="182" w:name="_Toc15170"/>
      <w:bookmarkStart w:id="183" w:name="_Toc8395"/>
      <w:bookmarkStart w:id="184" w:name="_Toc32566"/>
      <w:bookmarkStart w:id="185" w:name="_Toc22801"/>
      <w:bookmarkStart w:id="186" w:name="_Toc843"/>
      <w:bookmarkStart w:id="187" w:name="_Toc19957"/>
      <w:bookmarkStart w:id="188" w:name="_Toc32529"/>
      <w:bookmarkStart w:id="189" w:name="_Toc4960"/>
      <w:bookmarkStart w:id="190" w:name="_Toc10024"/>
      <w:bookmarkStart w:id="191" w:name="_Toc22383"/>
      <w:bookmarkStart w:id="192" w:name="_Toc17165"/>
      <w:bookmarkStart w:id="193" w:name="_Toc20784"/>
      <w:bookmarkStart w:id="194" w:name="_Toc25532"/>
      <w:bookmarkStart w:id="195" w:name="_Toc889"/>
      <w:bookmarkStart w:id="196" w:name="_Toc2679"/>
      <w:bookmarkStart w:id="197" w:name="_Toc22621"/>
      <w:bookmarkStart w:id="198" w:name="_Toc28571"/>
      <w:r>
        <w:rPr>
          <w:color w:val="auto"/>
        </w:rPr>
        <w:t xml:space="preserve">第二章 </w:t>
      </w:r>
      <w:r>
        <w:rPr>
          <w:rFonts w:hint="eastAsia"/>
          <w:color w:val="auto"/>
        </w:rPr>
        <w:t>响应人</w:t>
      </w:r>
      <w:r>
        <w:rPr>
          <w:color w:val="auto"/>
        </w:rPr>
        <w:t>须知</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bookmarkEnd w:id="194"/>
    <w:bookmarkEnd w:id="195"/>
    <w:bookmarkEnd w:id="196"/>
    <w:bookmarkEnd w:id="197"/>
    <w:bookmarkEnd w:id="198"/>
    <w:p w14:paraId="4DFA40F5">
      <w:pPr>
        <w:pStyle w:val="3"/>
        <w:rPr>
          <w:color w:val="auto"/>
        </w:rPr>
      </w:pPr>
      <w:bookmarkStart w:id="199" w:name="_Toc6463"/>
      <w:bookmarkStart w:id="200" w:name="_Toc18765"/>
      <w:bookmarkStart w:id="201" w:name="_Toc25333"/>
      <w:bookmarkStart w:id="202" w:name="_Toc22647"/>
      <w:bookmarkStart w:id="203" w:name="_Toc11413"/>
      <w:bookmarkStart w:id="204" w:name="_Toc4189"/>
      <w:bookmarkStart w:id="205" w:name="_Toc9153"/>
      <w:bookmarkStart w:id="206" w:name="_Toc21139"/>
      <w:bookmarkStart w:id="207" w:name="_Toc15702"/>
      <w:bookmarkStart w:id="208" w:name="_Toc27892"/>
      <w:bookmarkStart w:id="209" w:name="_Toc10331"/>
      <w:r>
        <w:rPr>
          <w:rFonts w:hint="eastAsia"/>
          <w:color w:val="auto"/>
        </w:rPr>
        <w:t>响应人须知前附表</w:t>
      </w:r>
      <w:bookmarkEnd w:id="199"/>
      <w:bookmarkEnd w:id="200"/>
      <w:bookmarkEnd w:id="201"/>
      <w:bookmarkEnd w:id="202"/>
      <w:bookmarkEnd w:id="203"/>
      <w:bookmarkEnd w:id="204"/>
      <w:bookmarkEnd w:id="205"/>
      <w:bookmarkEnd w:id="206"/>
      <w:bookmarkEnd w:id="207"/>
      <w:bookmarkEnd w:id="208"/>
      <w:bookmarkEnd w:id="209"/>
    </w:p>
    <w:p w14:paraId="68084156">
      <w:pPr>
        <w:ind w:firstLine="420"/>
        <w:rPr>
          <w:color w:val="auto"/>
        </w:rPr>
      </w:pPr>
      <w:r>
        <w:rPr>
          <w:rFonts w:hint="eastAsia"/>
          <w:color w:val="auto"/>
        </w:rPr>
        <w:t>正文内容不允许修改。若响应人须知前附表与正文不一致的地方，以响应人须知前附表为准。</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9"/>
        <w:gridCol w:w="1914"/>
        <w:gridCol w:w="5612"/>
      </w:tblGrid>
      <w:tr w14:paraId="7FCB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C8B34F9">
            <w:pPr>
              <w:pStyle w:val="44"/>
              <w:rPr>
                <w:color w:val="auto"/>
              </w:rPr>
            </w:pPr>
            <w:r>
              <w:rPr>
                <w:rFonts w:hint="eastAsia"/>
                <w:color w:val="auto"/>
              </w:rPr>
              <w:t>条款号</w:t>
            </w:r>
          </w:p>
        </w:tc>
        <w:tc>
          <w:tcPr>
            <w:tcW w:w="2166" w:type="dxa"/>
            <w:gridSpan w:val="2"/>
            <w:vAlign w:val="center"/>
          </w:tcPr>
          <w:p w14:paraId="1ECFA92C">
            <w:pPr>
              <w:pStyle w:val="44"/>
              <w:rPr>
                <w:color w:val="auto"/>
              </w:rPr>
            </w:pPr>
            <w:r>
              <w:rPr>
                <w:rFonts w:hint="eastAsia"/>
                <w:color w:val="auto"/>
              </w:rPr>
              <w:t>条款名称</w:t>
            </w:r>
          </w:p>
        </w:tc>
        <w:tc>
          <w:tcPr>
            <w:tcW w:w="5289" w:type="dxa"/>
            <w:vAlign w:val="center"/>
          </w:tcPr>
          <w:p w14:paraId="7CC9B8FD">
            <w:pPr>
              <w:pStyle w:val="44"/>
              <w:rPr>
                <w:color w:val="auto"/>
              </w:rPr>
            </w:pPr>
            <w:r>
              <w:rPr>
                <w:rFonts w:hint="eastAsia"/>
                <w:color w:val="auto"/>
              </w:rPr>
              <w:t>编列内容</w:t>
            </w:r>
          </w:p>
        </w:tc>
      </w:tr>
      <w:tr w14:paraId="4AD1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194D4E23">
            <w:pPr>
              <w:pStyle w:val="54"/>
              <w:rPr>
                <w:rFonts w:hint="default"/>
                <w:color w:val="auto"/>
              </w:rPr>
            </w:pPr>
            <w:r>
              <w:rPr>
                <w:color w:val="auto"/>
              </w:rPr>
              <w:t>1.4.1</w:t>
            </w:r>
          </w:p>
        </w:tc>
        <w:tc>
          <w:tcPr>
            <w:tcW w:w="2166" w:type="dxa"/>
            <w:gridSpan w:val="2"/>
            <w:vAlign w:val="center"/>
          </w:tcPr>
          <w:p w14:paraId="4840CEE8">
            <w:pPr>
              <w:pStyle w:val="54"/>
              <w:rPr>
                <w:rFonts w:hint="default"/>
                <w:color w:val="auto"/>
              </w:rPr>
            </w:pPr>
            <w:r>
              <w:rPr>
                <w:color w:val="auto"/>
              </w:rPr>
              <w:t>响应人资质条件、能力和信誉</w:t>
            </w:r>
          </w:p>
        </w:tc>
        <w:tc>
          <w:tcPr>
            <w:tcW w:w="5289" w:type="dxa"/>
            <w:vAlign w:val="center"/>
          </w:tcPr>
          <w:p w14:paraId="12D827CE">
            <w:pPr>
              <w:pStyle w:val="43"/>
              <w:widowControl/>
              <w:autoSpaceDE/>
              <w:autoSpaceDN/>
              <w:ind w:firstLineChars="0"/>
              <w:jc w:val="left"/>
              <w:rPr>
                <w:color w:val="auto"/>
              </w:rPr>
            </w:pPr>
            <w:r>
              <w:rPr>
                <w:color w:val="auto"/>
              </w:rPr>
              <w:t>1.</w:t>
            </w:r>
            <w:r>
              <w:rPr>
                <w:rFonts w:hint="eastAsia"/>
                <w:color w:val="auto"/>
              </w:rPr>
              <w:t>资质条件</w:t>
            </w:r>
          </w:p>
          <w:p w14:paraId="7B6DA401">
            <w:pPr>
              <w:pStyle w:val="43"/>
              <w:ind w:firstLine="420"/>
              <w:rPr>
                <w:color w:val="auto"/>
              </w:rPr>
            </w:pPr>
            <w:r>
              <w:rPr>
                <w:rFonts w:hint="eastAsia"/>
                <w:color w:val="auto"/>
              </w:rPr>
              <w:t>（1）响应人具备独立承担民事责任的能力，具备有效的营业执照。【提供有效的营业执照扫描件】</w:t>
            </w:r>
          </w:p>
          <w:p w14:paraId="1408DE93">
            <w:pPr>
              <w:pStyle w:val="43"/>
              <w:widowControl/>
              <w:ind w:firstLine="420"/>
              <w:jc w:val="left"/>
              <w:rPr>
                <w:color w:val="auto"/>
              </w:rPr>
            </w:pPr>
            <w:r>
              <w:rPr>
                <w:color w:val="auto"/>
                <w:szCs w:val="20"/>
              </w:rPr>
              <w:t>2.其他</w:t>
            </w:r>
            <w:r>
              <w:rPr>
                <w:rFonts w:hint="eastAsia"/>
                <w:color w:val="auto"/>
              </w:rPr>
              <w:t>要求</w:t>
            </w:r>
          </w:p>
          <w:p w14:paraId="7E42267B">
            <w:pPr>
              <w:pStyle w:val="43"/>
              <w:ind w:firstLine="420"/>
              <w:rPr>
                <w:color w:val="auto"/>
              </w:rPr>
            </w:pPr>
            <w:r>
              <w:rPr>
                <w:rFonts w:hint="eastAsia"/>
                <w:color w:val="auto"/>
              </w:rPr>
              <w:t>（1）响应人应具有良好的商业信誉和健全的财务会计制度，具有履行合同所必需的设备和专业技术能力，有依法缴纳税收和社会保障金的良好记录，三年内在经营活动中没有重大违法记录【提供书面声明】</w:t>
            </w:r>
          </w:p>
          <w:p w14:paraId="5FD2DD60">
            <w:pPr>
              <w:pStyle w:val="43"/>
              <w:ind w:firstLine="420"/>
              <w:rPr>
                <w:color w:val="auto"/>
              </w:rPr>
            </w:pPr>
            <w:r>
              <w:rPr>
                <w:rFonts w:hint="eastAsia"/>
                <w:color w:val="auto"/>
              </w:rPr>
              <w:t>（2）本项目不允许任何形式的转包【提供书面声明】</w:t>
            </w:r>
          </w:p>
          <w:p w14:paraId="21FA4BAA">
            <w:pPr>
              <w:pStyle w:val="43"/>
              <w:ind w:firstLine="420"/>
              <w:rPr>
                <w:color w:val="auto"/>
              </w:rPr>
            </w:pPr>
            <w:r>
              <w:rPr>
                <w:rFonts w:hint="eastAsia"/>
                <w:color w:val="auto"/>
              </w:rPr>
              <w:t>（3）法人及法定代表人没有被人民法院列为失信被执行人名单（中国执行信息公开网网址：https://zxgk.court.gov.cn/）【提供：1、法人在</w:t>
            </w:r>
            <w:r>
              <w:rPr>
                <w:color w:val="auto"/>
              </w:rPr>
              <w:t>中国执行信息公开网</w:t>
            </w:r>
            <w:r>
              <w:rPr>
                <w:rFonts w:hint="eastAsia"/>
                <w:color w:val="auto"/>
              </w:rPr>
              <w:t>的查询</w:t>
            </w:r>
            <w:r>
              <w:rPr>
                <w:color w:val="auto"/>
              </w:rPr>
              <w:t>截图</w:t>
            </w:r>
            <w:r>
              <w:rPr>
                <w:rFonts w:hint="eastAsia"/>
                <w:color w:val="auto"/>
              </w:rPr>
              <w:t>；2、法定代表人在</w:t>
            </w:r>
            <w:r>
              <w:rPr>
                <w:color w:val="auto"/>
              </w:rPr>
              <w:t>中国执行信息公开网</w:t>
            </w:r>
            <w:r>
              <w:rPr>
                <w:rFonts w:hint="eastAsia"/>
                <w:color w:val="auto"/>
              </w:rPr>
              <w:t>的查询</w:t>
            </w:r>
            <w:r>
              <w:rPr>
                <w:color w:val="auto"/>
              </w:rPr>
              <w:t>截图</w:t>
            </w:r>
            <w:r>
              <w:rPr>
                <w:rFonts w:hint="eastAsia"/>
                <w:color w:val="auto"/>
              </w:rPr>
              <w:t>】</w:t>
            </w:r>
          </w:p>
          <w:p w14:paraId="1A33FF7A">
            <w:pPr>
              <w:pStyle w:val="43"/>
              <w:widowControl/>
              <w:ind w:firstLine="420"/>
              <w:jc w:val="left"/>
              <w:rPr>
                <w:color w:val="auto"/>
              </w:rPr>
            </w:pPr>
            <w:r>
              <w:rPr>
                <w:rFonts w:hint="eastAsia"/>
                <w:color w:val="auto"/>
              </w:rPr>
              <w:t>（4）2023年1月1日至202</w:t>
            </w:r>
            <w:r>
              <w:rPr>
                <w:rFonts w:hint="eastAsia"/>
                <w:color w:val="auto"/>
                <w:lang w:val="en-US" w:eastAsia="zh-CN"/>
              </w:rPr>
              <w:t>6</w:t>
            </w:r>
            <w:r>
              <w:rPr>
                <w:rFonts w:hint="eastAsia"/>
                <w:color w:val="auto"/>
              </w:rPr>
              <w:t>年</w:t>
            </w:r>
            <w:r>
              <w:rPr>
                <w:rFonts w:hint="eastAsia"/>
                <w:color w:val="auto"/>
                <w:lang w:val="en-US" w:eastAsia="zh-CN"/>
              </w:rPr>
              <w:t>7</w:t>
            </w:r>
            <w:r>
              <w:rPr>
                <w:rFonts w:hint="eastAsia"/>
                <w:color w:val="auto"/>
              </w:rPr>
              <w:t>月</w:t>
            </w:r>
            <w:r>
              <w:rPr>
                <w:rFonts w:hint="eastAsia"/>
                <w:color w:val="auto"/>
                <w:lang w:val="en-US" w:eastAsia="zh-CN"/>
              </w:rPr>
              <w:t>3</w:t>
            </w:r>
            <w:r>
              <w:rPr>
                <w:rFonts w:hint="eastAsia"/>
                <w:color w:val="auto"/>
              </w:rPr>
              <w:t>1日</w:t>
            </w:r>
            <w:r>
              <w:rPr>
                <w:rFonts w:hint="eastAsia"/>
                <w:color w:val="auto"/>
                <w:lang w:val="en-US" w:eastAsia="zh-CN"/>
              </w:rPr>
              <w:t>止</w:t>
            </w:r>
            <w:r>
              <w:rPr>
                <w:rFonts w:hint="eastAsia"/>
                <w:color w:val="auto"/>
              </w:rPr>
              <w:t>（以合同签订时间为准），具有银行移动作业相关实施案例不少于2个，实施案例中至少1个为国产化适配实施案例。【提供：1、合同关键页（合同关键页包含：甲乙双方名称、双方印章、项目名称、合同签订时间、服务范围。）；2、项目简介（格式自拟）；3、国产化案例须在合同项目名称或建设内容中明确体现适配国产操作系统、中间件、数据库等内容。】</w:t>
            </w:r>
          </w:p>
          <w:p w14:paraId="3BDE0850">
            <w:pPr>
              <w:pStyle w:val="43"/>
              <w:widowControl/>
              <w:ind w:firstLine="420"/>
              <w:jc w:val="left"/>
              <w:rPr>
                <w:color w:val="auto"/>
              </w:rPr>
            </w:pPr>
            <w:r>
              <w:rPr>
                <w:rFonts w:hint="eastAsia"/>
                <w:color w:val="auto"/>
              </w:rPr>
              <w:t>（5）响应人须为产品原厂商，具备对产品二次开发及维护能力【提供书面声明】。</w:t>
            </w:r>
          </w:p>
          <w:p w14:paraId="3F972D22">
            <w:pPr>
              <w:pStyle w:val="43"/>
              <w:widowControl/>
              <w:ind w:firstLine="420"/>
              <w:jc w:val="left"/>
              <w:rPr>
                <w:color w:val="auto"/>
              </w:rPr>
            </w:pPr>
            <w:r>
              <w:rPr>
                <w:rFonts w:hint="eastAsia"/>
                <w:color w:val="auto"/>
              </w:rPr>
              <w:t>（6） 响应人注册成立时间不少于3年，且近3年财务状况稳定【注册成立时间提供营业执照扫描件；财务状况提供书面声明】。</w:t>
            </w:r>
          </w:p>
          <w:p w14:paraId="0FD795E9">
            <w:pPr>
              <w:pStyle w:val="43"/>
              <w:widowControl/>
              <w:ind w:firstLine="420"/>
              <w:jc w:val="left"/>
              <w:rPr>
                <w:color w:val="auto"/>
              </w:rPr>
            </w:pPr>
            <w:r>
              <w:rPr>
                <w:rFonts w:hint="eastAsia"/>
                <w:color w:val="auto"/>
              </w:rPr>
              <w:t>（7）响应人上一会计年度（2025年）净利润为正，经营活动现金净额为正；近三年无连续净利润为负，无连续经营活动现金流净额为负【提供近三年（2023年、2024年、2025年）经审计的财务报表】。</w:t>
            </w:r>
          </w:p>
          <w:p w14:paraId="5C5985B6">
            <w:pPr>
              <w:pStyle w:val="43"/>
              <w:widowControl/>
              <w:ind w:firstLine="420"/>
              <w:jc w:val="left"/>
              <w:rPr>
                <w:color w:val="auto"/>
              </w:rPr>
            </w:pPr>
            <w:r>
              <w:rPr>
                <w:rFonts w:hint="eastAsia"/>
                <w:color w:val="auto"/>
              </w:rPr>
              <w:t>（8）项目组成员具备诸如软件开发、项目管理、架构设计等科技领域中级、高级职称技术人员，项目实施团队总人数不低于8人，实施团队至少包括项目经理1名，系统架构师1名，项目组开发人员4名，项目组测试人员2名，上述所有成员均具有3年（含）以上移动作业项目实施经验，其中项目经理、系统架构师分别具有5年（含）以上移动作业项目管理及开发经验或架构管理经验。【根据上述要求提供响应承诺函，格式自拟。】</w:t>
            </w:r>
          </w:p>
          <w:p w14:paraId="51ABACC3">
            <w:pPr>
              <w:pStyle w:val="43"/>
              <w:widowControl/>
              <w:ind w:firstLine="420"/>
              <w:jc w:val="left"/>
              <w:rPr>
                <w:color w:val="auto"/>
              </w:rPr>
            </w:pPr>
            <w:r>
              <w:rPr>
                <w:rFonts w:hint="eastAsia"/>
                <w:color w:val="auto"/>
              </w:rPr>
              <w:t>（9）响应人应承诺未征得采购人书面同意的情况下不得更换项目成员。【提供响应承诺函，承诺函格式自拟】</w:t>
            </w:r>
          </w:p>
          <w:p w14:paraId="57282D2E">
            <w:pPr>
              <w:pStyle w:val="43"/>
              <w:widowControl/>
              <w:ind w:firstLine="420"/>
              <w:jc w:val="left"/>
              <w:rPr>
                <w:color w:val="auto"/>
              </w:rPr>
            </w:pPr>
            <w:r>
              <w:rPr>
                <w:rFonts w:hint="eastAsia"/>
                <w:color w:val="auto"/>
              </w:rPr>
              <w:t>（10）响应人根据第五章“售后服务和支持”内容，提供售后服务和培训方案。【提供售后服务和培训方案，格式自拟】</w:t>
            </w:r>
          </w:p>
          <w:p w14:paraId="0D26B9F2">
            <w:pPr>
              <w:pStyle w:val="43"/>
              <w:widowControl/>
              <w:ind w:firstLine="420"/>
              <w:jc w:val="left"/>
              <w:rPr>
                <w:color w:val="auto"/>
              </w:rPr>
            </w:pPr>
            <w:r>
              <w:rPr>
                <w:rFonts w:hint="eastAsia"/>
                <w:color w:val="auto"/>
              </w:rPr>
              <w:t>（11）第六章《服务水平协议（SLA）》无需填写，仅需供应商响应人认可、承认协议内容。【提供《服务水平协议（SLA）》并加盖公章】</w:t>
            </w:r>
          </w:p>
          <w:p w14:paraId="11E65B6B">
            <w:pPr>
              <w:pStyle w:val="43"/>
              <w:widowControl/>
              <w:ind w:firstLine="420"/>
              <w:jc w:val="left"/>
              <w:rPr>
                <w:color w:val="auto"/>
              </w:rPr>
            </w:pPr>
            <w:r>
              <w:rPr>
                <w:rFonts w:hint="eastAsia"/>
                <w:color w:val="auto"/>
              </w:rPr>
              <w:t>（12）响应人应在响应文件中提供服务连续性预案供采购人查看，服务连续性预案应考虑供应链风险产生的影响。【提供服务连续性预案】</w:t>
            </w:r>
          </w:p>
          <w:p w14:paraId="622E0F50">
            <w:pPr>
              <w:pStyle w:val="43"/>
              <w:widowControl/>
              <w:ind w:firstLine="420"/>
              <w:jc w:val="left"/>
              <w:rPr>
                <w:color w:val="auto"/>
              </w:rPr>
            </w:pPr>
            <w:r>
              <w:rPr>
                <w:rFonts w:hint="eastAsia"/>
                <w:color w:val="auto"/>
              </w:rPr>
              <w:t>（13）响应人应在响应文件中提供项目实施方案供采购人查看，方案应包括履行合同的时间计划、提交资料、人员安排等内容。【提供项目实施方案】</w:t>
            </w:r>
          </w:p>
          <w:p w14:paraId="1DA66E2C">
            <w:pPr>
              <w:pStyle w:val="43"/>
              <w:widowControl/>
              <w:ind w:firstLine="420"/>
              <w:jc w:val="left"/>
              <w:rPr>
                <w:color w:val="auto"/>
              </w:rPr>
            </w:pPr>
            <w:r>
              <w:rPr>
                <w:rFonts w:hint="eastAsia"/>
                <w:color w:val="auto"/>
              </w:rPr>
              <w:t>注:</w:t>
            </w:r>
          </w:p>
          <w:p w14:paraId="7A3532B5">
            <w:pPr>
              <w:pStyle w:val="43"/>
              <w:ind w:firstLine="420"/>
              <w:rPr>
                <w:color w:val="auto"/>
              </w:rPr>
            </w:pPr>
            <w:r>
              <w:rPr>
                <w:rFonts w:hint="eastAsia"/>
                <w:color w:val="auto"/>
              </w:rPr>
              <w:t>1、以上证明文件若采购人存疑，响应人需提供原件备查，响应文件中须附相关证明文件扫描件。</w:t>
            </w:r>
          </w:p>
          <w:p w14:paraId="0D79FA73">
            <w:pPr>
              <w:pStyle w:val="43"/>
              <w:ind w:firstLine="420"/>
              <w:rPr>
                <w:color w:val="auto"/>
              </w:rPr>
            </w:pPr>
            <w:r>
              <w:rPr>
                <w:rFonts w:hint="eastAsia"/>
                <w:color w:val="auto"/>
              </w:rPr>
              <w:t>2、本项目不接受联合体响应。</w:t>
            </w:r>
          </w:p>
          <w:p w14:paraId="461CDE7C">
            <w:pPr>
              <w:pStyle w:val="43"/>
              <w:ind w:firstLine="420"/>
              <w:rPr>
                <w:color w:val="auto"/>
              </w:rPr>
            </w:pPr>
            <w:r>
              <w:rPr>
                <w:rFonts w:hint="eastAsia"/>
                <w:color w:val="auto"/>
              </w:rPr>
              <w:t>3、本次询比不接受曾因响应人的违约行为与采购人发生过纠纷的响应人；</w:t>
            </w:r>
            <w:r>
              <w:rPr>
                <w:color w:val="auto"/>
              </w:rPr>
              <w:t>不接受</w:t>
            </w:r>
            <w:r>
              <w:rPr>
                <w:rFonts w:hint="eastAsia"/>
                <w:color w:val="auto"/>
              </w:rPr>
              <w:t>与采购人合作过程中不遵守询比文件及合同约定的响应人；</w:t>
            </w:r>
            <w:r>
              <w:rPr>
                <w:color w:val="auto"/>
              </w:rPr>
              <w:t>不接受</w:t>
            </w:r>
            <w:r>
              <w:rPr>
                <w:rFonts w:hint="eastAsia"/>
                <w:color w:val="auto"/>
              </w:rPr>
              <w:t>曾在采购人项目</w:t>
            </w:r>
            <w:r>
              <w:rPr>
                <w:color w:val="auto"/>
              </w:rPr>
              <w:t>中存在</w:t>
            </w:r>
            <w:r>
              <w:rPr>
                <w:rFonts w:hint="eastAsia"/>
                <w:color w:val="auto"/>
              </w:rPr>
              <w:t>弄虚作假行为的响应人</w:t>
            </w:r>
            <w:r>
              <w:rPr>
                <w:color w:val="auto"/>
              </w:rPr>
              <w:t>。若</w:t>
            </w:r>
            <w:r>
              <w:rPr>
                <w:rFonts w:hint="eastAsia"/>
                <w:color w:val="auto"/>
              </w:rPr>
              <w:t>响应人</w:t>
            </w:r>
            <w:r>
              <w:rPr>
                <w:color w:val="auto"/>
              </w:rPr>
              <w:t>存在上述情况，</w:t>
            </w:r>
            <w:r>
              <w:rPr>
                <w:rFonts w:hint="eastAsia"/>
                <w:color w:val="auto"/>
              </w:rPr>
              <w:t>采购人将</w:t>
            </w:r>
            <w:r>
              <w:rPr>
                <w:color w:val="auto"/>
              </w:rPr>
              <w:t>有权</w:t>
            </w:r>
            <w:r>
              <w:rPr>
                <w:rFonts w:hint="eastAsia"/>
                <w:color w:val="auto"/>
              </w:rPr>
              <w:t>随时</w:t>
            </w:r>
            <w:r>
              <w:rPr>
                <w:color w:val="auto"/>
              </w:rPr>
              <w:t>取消其</w:t>
            </w:r>
            <w:r>
              <w:rPr>
                <w:rFonts w:hint="eastAsia"/>
                <w:color w:val="auto"/>
              </w:rPr>
              <w:t>响应</w:t>
            </w:r>
            <w:r>
              <w:rPr>
                <w:color w:val="auto"/>
              </w:rPr>
              <w:t>资格或</w:t>
            </w:r>
            <w:r>
              <w:rPr>
                <w:rFonts w:hint="eastAsia"/>
                <w:color w:val="auto"/>
              </w:rPr>
              <w:t>成交</w:t>
            </w:r>
            <w:r>
              <w:rPr>
                <w:color w:val="auto"/>
              </w:rPr>
              <w:t>资格（</w:t>
            </w:r>
            <w:r>
              <w:rPr>
                <w:rFonts w:hint="eastAsia"/>
                <w:color w:val="auto"/>
              </w:rPr>
              <w:t>若</w:t>
            </w:r>
            <w:r>
              <w:rPr>
                <w:color w:val="auto"/>
              </w:rPr>
              <w:t>签署合同后发现的则有权解除合同）</w:t>
            </w:r>
            <w:r>
              <w:rPr>
                <w:rFonts w:hint="eastAsia"/>
                <w:color w:val="auto"/>
              </w:rPr>
              <w:t>，没收</w:t>
            </w:r>
            <w:r>
              <w:rPr>
                <w:color w:val="auto"/>
              </w:rPr>
              <w:t>其</w:t>
            </w:r>
            <w:r>
              <w:rPr>
                <w:rFonts w:hint="eastAsia"/>
                <w:color w:val="auto"/>
              </w:rPr>
              <w:t>响应保证金</w:t>
            </w:r>
            <w:r>
              <w:rPr>
                <w:color w:val="auto"/>
              </w:rPr>
              <w:t>，并追究其相应的法律责任。</w:t>
            </w:r>
            <w:r>
              <w:rPr>
                <w:rFonts w:hint="eastAsia"/>
                <w:color w:val="auto"/>
              </w:rPr>
              <w:t>截至</w:t>
            </w:r>
            <w:r>
              <w:rPr>
                <w:color w:val="auto"/>
              </w:rPr>
              <w:t>挂网日，</w:t>
            </w:r>
            <w:r>
              <w:rPr>
                <w:rFonts w:hint="eastAsia"/>
                <w:color w:val="auto"/>
              </w:rPr>
              <w:t>存在</w:t>
            </w:r>
            <w:r>
              <w:rPr>
                <w:color w:val="auto"/>
              </w:rPr>
              <w:t>上述情况的公司</w:t>
            </w:r>
            <w:r>
              <w:rPr>
                <w:rFonts w:hint="eastAsia"/>
                <w:color w:val="auto"/>
              </w:rPr>
              <w:t>已纳入</w:t>
            </w:r>
            <w:r>
              <w:rPr>
                <w:color w:val="auto"/>
              </w:rPr>
              <w:t>下列清单</w:t>
            </w:r>
            <w:r>
              <w:rPr>
                <w:rFonts w:hint="eastAsia"/>
                <w:color w:val="auto"/>
              </w:rPr>
              <w:t>。</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3873"/>
            </w:tblGrid>
            <w:tr w14:paraId="3D1B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404" w:type="pct"/>
                </w:tcPr>
                <w:p w14:paraId="2B711FCE">
                  <w:pPr>
                    <w:pStyle w:val="44"/>
                    <w:rPr>
                      <w:color w:val="auto"/>
                    </w:rPr>
                  </w:pPr>
                  <w:r>
                    <w:rPr>
                      <w:rFonts w:hint="eastAsia"/>
                      <w:color w:val="auto"/>
                    </w:rPr>
                    <w:t>序号</w:t>
                  </w:r>
                </w:p>
              </w:tc>
              <w:tc>
                <w:tcPr>
                  <w:tcW w:w="3595" w:type="pct"/>
                </w:tcPr>
                <w:p w14:paraId="58DD3065">
                  <w:pPr>
                    <w:pStyle w:val="44"/>
                    <w:rPr>
                      <w:color w:val="auto"/>
                    </w:rPr>
                  </w:pPr>
                  <w:r>
                    <w:rPr>
                      <w:rFonts w:hint="eastAsia"/>
                      <w:color w:val="auto"/>
                    </w:rPr>
                    <w:t>公司</w:t>
                  </w:r>
                </w:p>
              </w:tc>
            </w:tr>
            <w:tr w14:paraId="7A9F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4" w:type="pct"/>
                </w:tcPr>
                <w:p w14:paraId="50742C17">
                  <w:pPr>
                    <w:pStyle w:val="54"/>
                    <w:rPr>
                      <w:rFonts w:hint="default"/>
                      <w:color w:val="auto"/>
                    </w:rPr>
                  </w:pPr>
                  <w:r>
                    <w:rPr>
                      <w:color w:val="auto"/>
                    </w:rPr>
                    <w:t>1</w:t>
                  </w:r>
                </w:p>
              </w:tc>
              <w:tc>
                <w:tcPr>
                  <w:tcW w:w="3595" w:type="pct"/>
                </w:tcPr>
                <w:p w14:paraId="5A386D04">
                  <w:pPr>
                    <w:pStyle w:val="54"/>
                    <w:rPr>
                      <w:rFonts w:hint="default"/>
                      <w:color w:val="auto"/>
                    </w:rPr>
                  </w:pPr>
                  <w:r>
                    <w:rPr>
                      <w:color w:val="auto"/>
                    </w:rPr>
                    <w:t>依米康软件技术（深圳）有限责任公司</w:t>
                  </w:r>
                </w:p>
              </w:tc>
            </w:tr>
          </w:tbl>
          <w:p w14:paraId="03E4315A">
            <w:pPr>
              <w:pStyle w:val="43"/>
              <w:ind w:firstLine="420"/>
              <w:rPr>
                <w:color w:val="auto"/>
              </w:rPr>
            </w:pPr>
          </w:p>
        </w:tc>
      </w:tr>
      <w:tr w14:paraId="21AF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7281F38D">
            <w:pPr>
              <w:pStyle w:val="54"/>
              <w:rPr>
                <w:rFonts w:hint="default"/>
                <w:color w:val="auto"/>
              </w:rPr>
            </w:pPr>
            <w:r>
              <w:rPr>
                <w:color w:val="auto"/>
              </w:rPr>
              <w:t>1.9.1</w:t>
            </w:r>
          </w:p>
        </w:tc>
        <w:tc>
          <w:tcPr>
            <w:tcW w:w="2166" w:type="dxa"/>
            <w:gridSpan w:val="2"/>
            <w:vAlign w:val="center"/>
          </w:tcPr>
          <w:p w14:paraId="2E11473D">
            <w:pPr>
              <w:pStyle w:val="54"/>
              <w:rPr>
                <w:rFonts w:hint="default"/>
                <w:color w:val="auto"/>
              </w:rPr>
            </w:pPr>
            <w:r>
              <w:rPr>
                <w:color w:val="auto"/>
              </w:rPr>
              <w:t>踏勘现场</w:t>
            </w:r>
          </w:p>
        </w:tc>
        <w:tc>
          <w:tcPr>
            <w:tcW w:w="5289" w:type="dxa"/>
            <w:vAlign w:val="center"/>
          </w:tcPr>
          <w:p w14:paraId="216FF8E2">
            <w:pPr>
              <w:pStyle w:val="43"/>
              <w:ind w:firstLine="420"/>
              <w:rPr>
                <w:color w:val="auto"/>
              </w:rPr>
            </w:pPr>
            <w:r>
              <w:rPr>
                <w:rFonts w:hint="eastAsia"/>
                <w:color w:val="auto"/>
              </w:rPr>
              <w:t>☑不组织</w:t>
            </w:r>
          </w:p>
        </w:tc>
      </w:tr>
      <w:tr w14:paraId="31E1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5799D03">
            <w:pPr>
              <w:pStyle w:val="54"/>
              <w:rPr>
                <w:rFonts w:hint="default"/>
                <w:color w:val="auto"/>
              </w:rPr>
            </w:pPr>
            <w:r>
              <w:rPr>
                <w:color w:val="auto"/>
              </w:rPr>
              <w:t>1.10</w:t>
            </w:r>
          </w:p>
        </w:tc>
        <w:tc>
          <w:tcPr>
            <w:tcW w:w="2155" w:type="dxa"/>
            <w:vAlign w:val="center"/>
          </w:tcPr>
          <w:p w14:paraId="67701DDE">
            <w:pPr>
              <w:pStyle w:val="54"/>
              <w:rPr>
                <w:rFonts w:hint="default"/>
                <w:color w:val="auto"/>
              </w:rPr>
            </w:pPr>
            <w:r>
              <w:rPr>
                <w:color w:val="auto"/>
              </w:rPr>
              <w:t>分包</w:t>
            </w:r>
          </w:p>
        </w:tc>
        <w:tc>
          <w:tcPr>
            <w:tcW w:w="5289" w:type="dxa"/>
            <w:vAlign w:val="center"/>
          </w:tcPr>
          <w:p w14:paraId="68F051FD">
            <w:pPr>
              <w:pStyle w:val="43"/>
              <w:ind w:firstLine="420"/>
              <w:rPr>
                <w:color w:val="auto"/>
              </w:rPr>
            </w:pPr>
            <w:r>
              <w:rPr>
                <w:rFonts w:hint="eastAsia"/>
                <w:color w:val="auto"/>
              </w:rPr>
              <w:t>☑不允许</w:t>
            </w:r>
          </w:p>
        </w:tc>
      </w:tr>
      <w:tr w14:paraId="406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18DC6B1">
            <w:pPr>
              <w:pStyle w:val="54"/>
              <w:rPr>
                <w:rFonts w:hint="default"/>
                <w:color w:val="auto"/>
              </w:rPr>
            </w:pPr>
            <w:r>
              <w:rPr>
                <w:color w:val="auto"/>
              </w:rPr>
              <w:t>3.2</w:t>
            </w:r>
          </w:p>
        </w:tc>
        <w:tc>
          <w:tcPr>
            <w:tcW w:w="2155" w:type="dxa"/>
            <w:vAlign w:val="center"/>
          </w:tcPr>
          <w:p w14:paraId="5BE39348">
            <w:pPr>
              <w:pStyle w:val="54"/>
              <w:rPr>
                <w:rFonts w:hint="default"/>
                <w:color w:val="auto"/>
              </w:rPr>
            </w:pPr>
            <w:r>
              <w:rPr>
                <w:color w:val="auto"/>
              </w:rPr>
              <w:t>响应报价</w:t>
            </w:r>
          </w:p>
        </w:tc>
        <w:tc>
          <w:tcPr>
            <w:tcW w:w="5289" w:type="dxa"/>
            <w:vAlign w:val="center"/>
          </w:tcPr>
          <w:p w14:paraId="6FB10E1C">
            <w:pPr>
              <w:pStyle w:val="43"/>
              <w:ind w:firstLine="420"/>
              <w:rPr>
                <w:color w:val="auto"/>
              </w:rPr>
            </w:pPr>
            <w:r>
              <w:rPr>
                <w:rFonts w:hint="eastAsia"/>
                <w:color w:val="auto"/>
              </w:rPr>
              <w:t>1、最高限价（含税）：280万元整（大写：贰佰捌拾万元整）。</w:t>
            </w:r>
          </w:p>
          <w:p w14:paraId="376FBDE0">
            <w:pPr>
              <w:pStyle w:val="43"/>
              <w:ind w:firstLine="420"/>
              <w:rPr>
                <w:color w:val="auto"/>
              </w:rPr>
            </w:pPr>
            <w:r>
              <w:rPr>
                <w:rFonts w:hint="eastAsia"/>
                <w:color w:val="auto"/>
              </w:rPr>
              <w:t>2、报价方式及要求：响应人应严格按照《响应文件格式》的格式认真填写。</w:t>
            </w:r>
          </w:p>
          <w:p w14:paraId="31966BFA">
            <w:pPr>
              <w:pStyle w:val="43"/>
              <w:ind w:firstLine="420"/>
              <w:rPr>
                <w:color w:val="auto"/>
              </w:rPr>
            </w:pPr>
            <w:r>
              <w:rPr>
                <w:rFonts w:hint="eastAsia"/>
                <w:color w:val="auto"/>
              </w:rPr>
              <w:t>3、若响应报价低于采购项目最高限价50%的，即响应报价&lt;采购项目最高限价x50%，响应人应对响应价格作出解释，提供书面说明及必要的证明材料，包括不限于成本测算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tc>
      </w:tr>
      <w:tr w14:paraId="2A5B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1CC245F">
            <w:pPr>
              <w:pStyle w:val="54"/>
              <w:rPr>
                <w:rFonts w:hint="default"/>
                <w:color w:val="auto"/>
              </w:rPr>
            </w:pPr>
            <w:r>
              <w:rPr>
                <w:color w:val="auto"/>
              </w:rPr>
              <w:t>3.4.1</w:t>
            </w:r>
          </w:p>
        </w:tc>
        <w:tc>
          <w:tcPr>
            <w:tcW w:w="2155" w:type="dxa"/>
            <w:vAlign w:val="center"/>
          </w:tcPr>
          <w:p w14:paraId="4298E876">
            <w:pPr>
              <w:ind w:firstLine="420"/>
              <w:rPr>
                <w:color w:val="auto"/>
              </w:rPr>
            </w:pPr>
            <w:r>
              <w:rPr>
                <w:rFonts w:hint="eastAsia"/>
                <w:color w:val="auto"/>
              </w:rPr>
              <w:t>响应保证金</w:t>
            </w:r>
          </w:p>
        </w:tc>
        <w:tc>
          <w:tcPr>
            <w:tcW w:w="5289" w:type="dxa"/>
            <w:vAlign w:val="center"/>
          </w:tcPr>
          <w:p w14:paraId="7D50C822">
            <w:pPr>
              <w:pStyle w:val="43"/>
              <w:ind w:firstLine="420"/>
              <w:rPr>
                <w:color w:val="auto"/>
              </w:rPr>
            </w:pPr>
            <w:r>
              <w:rPr>
                <w:rFonts w:hint="eastAsia"/>
                <w:color w:val="auto"/>
              </w:rPr>
              <w:t>是否要求响应人提交响应保证金：</w:t>
            </w:r>
          </w:p>
          <w:p w14:paraId="05FC8380">
            <w:pPr>
              <w:pStyle w:val="43"/>
              <w:ind w:firstLine="420"/>
              <w:rPr>
                <w:color w:val="auto"/>
              </w:rPr>
            </w:pPr>
            <w:r>
              <w:rPr>
                <w:rFonts w:hint="eastAsia"/>
                <w:color w:val="auto"/>
              </w:rPr>
              <w:t>□不要求。</w:t>
            </w:r>
          </w:p>
          <w:p w14:paraId="1285D09E">
            <w:pPr>
              <w:pStyle w:val="43"/>
              <w:ind w:firstLine="420"/>
              <w:rPr>
                <w:color w:val="auto"/>
              </w:rPr>
            </w:pPr>
            <w:r>
              <w:rPr>
                <w:rFonts w:hint="eastAsia"/>
                <w:color w:val="auto"/>
              </w:rPr>
              <w:t>☑要求。</w:t>
            </w:r>
          </w:p>
          <w:p w14:paraId="6B5652A4">
            <w:pPr>
              <w:pStyle w:val="43"/>
              <w:ind w:firstLine="420"/>
              <w:rPr>
                <w:color w:val="auto"/>
              </w:rPr>
            </w:pPr>
            <w:r>
              <w:rPr>
                <w:rFonts w:hint="eastAsia"/>
                <w:color w:val="auto"/>
              </w:rPr>
              <w:t>一、响应保证金的交纳方式：</w:t>
            </w:r>
          </w:p>
          <w:p w14:paraId="7C87AA0E">
            <w:pPr>
              <w:pStyle w:val="43"/>
              <w:rPr>
                <w:b/>
                <w:bCs w:val="0"/>
                <w:color w:val="auto"/>
              </w:rPr>
            </w:pPr>
            <w:r>
              <w:rPr>
                <w:rFonts w:hint="eastAsia"/>
                <w:b/>
                <w:bCs w:val="0"/>
                <w:color w:val="auto"/>
              </w:rPr>
              <w:t>以转账支票或电汇形式交纳响应保证金</w:t>
            </w:r>
          </w:p>
          <w:p w14:paraId="4ECA37C1">
            <w:pPr>
              <w:pStyle w:val="43"/>
              <w:ind w:firstLine="420"/>
              <w:rPr>
                <w:color w:val="auto"/>
              </w:rPr>
            </w:pPr>
            <w:r>
              <w:rPr>
                <w:rFonts w:hint="eastAsia"/>
                <w:color w:val="auto"/>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0B035553">
            <w:pPr>
              <w:pStyle w:val="43"/>
              <w:ind w:firstLine="420"/>
              <w:rPr>
                <w:color w:val="auto"/>
              </w:rPr>
            </w:pPr>
            <w:r>
              <w:rPr>
                <w:rFonts w:hint="eastAsia"/>
                <w:color w:val="auto"/>
              </w:rPr>
              <w:t>响应人自行考虑汇入时间风险，如同城汇入、异地汇入、跨行汇入的时间要求。</w:t>
            </w:r>
          </w:p>
          <w:p w14:paraId="01AB9824">
            <w:pPr>
              <w:pStyle w:val="43"/>
              <w:ind w:firstLine="420"/>
              <w:rPr>
                <w:color w:val="auto"/>
              </w:rPr>
            </w:pPr>
            <w:r>
              <w:rPr>
                <w:rFonts w:hint="eastAsia"/>
                <w:color w:val="auto"/>
              </w:rPr>
              <w:t>2．以转账支票或电汇形式提交响应保证金的金额：50,000.00元（人民币大写：伍万元整）</w:t>
            </w:r>
          </w:p>
          <w:p w14:paraId="6A760D27">
            <w:pPr>
              <w:pStyle w:val="43"/>
              <w:ind w:firstLine="420"/>
              <w:rPr>
                <w:color w:val="auto"/>
              </w:rPr>
            </w:pPr>
            <w:r>
              <w:rPr>
                <w:rFonts w:hint="eastAsia"/>
                <w:color w:val="auto"/>
              </w:rPr>
              <w:t>3．响应保证金账户及账号（任选其一）：</w:t>
            </w:r>
          </w:p>
          <w:p w14:paraId="0BA56236">
            <w:pPr>
              <w:pStyle w:val="43"/>
              <w:ind w:firstLine="420"/>
              <w:rPr>
                <w:color w:val="auto"/>
              </w:rPr>
            </w:pPr>
            <w:r>
              <w:rPr>
                <w:rFonts w:hint="eastAsia"/>
                <w:color w:val="auto"/>
              </w:rPr>
              <w:t>详见重庆市公共资源交易网对应本项目询比公告信息栏中的保证金信息。</w:t>
            </w:r>
          </w:p>
          <w:p w14:paraId="439F73B2">
            <w:pPr>
              <w:pStyle w:val="43"/>
              <w:ind w:firstLine="420"/>
              <w:rPr>
                <w:color w:val="auto"/>
              </w:rPr>
            </w:pPr>
            <w:r>
              <w:rPr>
                <w:rFonts w:hint="eastAsia"/>
                <w:color w:val="auto"/>
              </w:rPr>
              <w:t>响应保证金以重庆市公共资源交易中心提交的保证金交纳情况为准。（付款凭证不作为评审因素，响应人无需提供付款凭证）</w:t>
            </w:r>
          </w:p>
          <w:p w14:paraId="0B6B93FA">
            <w:pPr>
              <w:pStyle w:val="43"/>
              <w:ind w:firstLine="420"/>
              <w:rPr>
                <w:color w:val="auto"/>
              </w:rPr>
            </w:pPr>
            <w:r>
              <w:rPr>
                <w:rFonts w:hint="eastAsia"/>
                <w:color w:val="auto"/>
              </w:rPr>
              <w:t>4．响应保证金有效期与响应有效期一致。</w:t>
            </w:r>
          </w:p>
        </w:tc>
      </w:tr>
      <w:tr w14:paraId="3459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0336126">
            <w:pPr>
              <w:pStyle w:val="54"/>
              <w:rPr>
                <w:rFonts w:hint="default"/>
                <w:color w:val="auto"/>
              </w:rPr>
            </w:pPr>
            <w:r>
              <w:rPr>
                <w:color w:val="auto"/>
              </w:rPr>
              <w:t>4.2.3</w:t>
            </w:r>
          </w:p>
        </w:tc>
        <w:tc>
          <w:tcPr>
            <w:tcW w:w="2155" w:type="dxa"/>
            <w:vAlign w:val="center"/>
          </w:tcPr>
          <w:p w14:paraId="6AE99D80">
            <w:pPr>
              <w:pStyle w:val="54"/>
              <w:rPr>
                <w:rFonts w:hint="default"/>
                <w:color w:val="auto"/>
              </w:rPr>
            </w:pPr>
            <w:r>
              <w:rPr>
                <w:color w:val="auto"/>
              </w:rPr>
              <w:t>响应文件是否退还</w:t>
            </w:r>
          </w:p>
        </w:tc>
        <w:tc>
          <w:tcPr>
            <w:tcW w:w="5289" w:type="dxa"/>
            <w:vAlign w:val="center"/>
          </w:tcPr>
          <w:p w14:paraId="5B886EB4">
            <w:pPr>
              <w:pStyle w:val="43"/>
              <w:ind w:firstLine="420"/>
              <w:rPr>
                <w:color w:val="auto"/>
              </w:rPr>
            </w:pPr>
            <w:r>
              <w:rPr>
                <w:rFonts w:hint="eastAsia"/>
                <w:color w:val="auto"/>
              </w:rPr>
              <w:t>否</w:t>
            </w:r>
          </w:p>
        </w:tc>
      </w:tr>
      <w:tr w14:paraId="0D7A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262727E">
            <w:pPr>
              <w:pStyle w:val="54"/>
              <w:rPr>
                <w:rFonts w:hint="default"/>
                <w:color w:val="auto"/>
              </w:rPr>
            </w:pPr>
            <w:r>
              <w:rPr>
                <w:color w:val="auto"/>
              </w:rPr>
              <w:t>5.1.1</w:t>
            </w:r>
          </w:p>
        </w:tc>
        <w:tc>
          <w:tcPr>
            <w:tcW w:w="2155" w:type="dxa"/>
            <w:vAlign w:val="center"/>
          </w:tcPr>
          <w:p w14:paraId="38338193">
            <w:pPr>
              <w:pStyle w:val="54"/>
              <w:rPr>
                <w:rFonts w:hint="default"/>
                <w:color w:val="auto"/>
              </w:rPr>
            </w:pPr>
            <w:r>
              <w:rPr>
                <w:color w:val="auto"/>
              </w:rPr>
              <w:t>开标时间和地点</w:t>
            </w:r>
          </w:p>
        </w:tc>
        <w:tc>
          <w:tcPr>
            <w:tcW w:w="5289" w:type="dxa"/>
            <w:vAlign w:val="center"/>
          </w:tcPr>
          <w:p w14:paraId="54C00547">
            <w:pPr>
              <w:pStyle w:val="43"/>
              <w:ind w:firstLine="420"/>
              <w:rPr>
                <w:color w:val="auto"/>
              </w:rPr>
            </w:pPr>
            <w:r>
              <w:rPr>
                <w:rFonts w:hint="eastAsia"/>
                <w:color w:val="auto"/>
              </w:rPr>
              <w:t>开标时间：同响应截止时间</w:t>
            </w:r>
          </w:p>
          <w:p w14:paraId="7CCE4C96">
            <w:pPr>
              <w:pStyle w:val="43"/>
              <w:ind w:firstLine="420"/>
              <w:rPr>
                <w:color w:val="auto"/>
              </w:rPr>
            </w:pPr>
            <w:r>
              <w:rPr>
                <w:rFonts w:hint="eastAsia"/>
                <w:color w:val="auto"/>
              </w:rPr>
              <w:t>开标地点：重庆市公共资源交易中心开标室（具体请登陆重庆市公共资源交易网查询或递交响应文件当日见交易中心大厅电子显示屏）。</w:t>
            </w:r>
          </w:p>
          <w:p w14:paraId="156CC1AF">
            <w:pPr>
              <w:pStyle w:val="43"/>
              <w:ind w:firstLine="420"/>
              <w:rPr>
                <w:color w:val="auto"/>
              </w:rPr>
            </w:pPr>
            <w:r>
              <w:rPr>
                <w:rFonts w:hint="eastAsia"/>
                <w:color w:val="auto"/>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7797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5248FD5">
            <w:pPr>
              <w:pStyle w:val="54"/>
              <w:rPr>
                <w:rFonts w:hint="default"/>
                <w:color w:val="auto"/>
              </w:rPr>
            </w:pPr>
            <w:r>
              <w:rPr>
                <w:color w:val="auto"/>
              </w:rPr>
              <w:t>5.1.2</w:t>
            </w:r>
          </w:p>
        </w:tc>
        <w:tc>
          <w:tcPr>
            <w:tcW w:w="2155" w:type="dxa"/>
            <w:vAlign w:val="center"/>
          </w:tcPr>
          <w:p w14:paraId="473E9D63">
            <w:pPr>
              <w:pStyle w:val="54"/>
              <w:rPr>
                <w:rFonts w:hint="default"/>
                <w:color w:val="auto"/>
              </w:rPr>
            </w:pPr>
            <w:r>
              <w:rPr>
                <w:color w:val="auto"/>
              </w:rPr>
              <w:t>解密时间</w:t>
            </w:r>
          </w:p>
        </w:tc>
        <w:tc>
          <w:tcPr>
            <w:tcW w:w="5289" w:type="dxa"/>
            <w:vAlign w:val="center"/>
          </w:tcPr>
          <w:p w14:paraId="4A7814F1">
            <w:pPr>
              <w:pStyle w:val="43"/>
              <w:ind w:firstLine="420"/>
              <w:rPr>
                <w:color w:val="auto"/>
              </w:rPr>
            </w:pPr>
            <w:r>
              <w:rPr>
                <w:rFonts w:hint="eastAsia"/>
                <w:color w:val="auto"/>
              </w:rPr>
              <w:t>解密时长为 30 分钟。</w:t>
            </w:r>
          </w:p>
          <w:p w14:paraId="0FBD58C3">
            <w:pPr>
              <w:pStyle w:val="43"/>
              <w:ind w:firstLine="420"/>
              <w:rPr>
                <w:color w:val="auto"/>
              </w:rPr>
            </w:pPr>
            <w:r>
              <w:rPr>
                <w:rFonts w:hint="eastAsia"/>
                <w:color w:val="auto"/>
              </w:rPr>
              <w:t>特别注意：采购人可根据现场实际情况延长解密时间；因响应人原因造成响应文件未解密的，视为撤销响应文件；因响应人之外原因造成响应文件未解密的，视为撤回响应文件。</w:t>
            </w:r>
          </w:p>
        </w:tc>
      </w:tr>
      <w:tr w14:paraId="13E5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26B6AF5">
            <w:pPr>
              <w:pStyle w:val="54"/>
              <w:rPr>
                <w:rFonts w:hint="default"/>
                <w:color w:val="auto"/>
              </w:rPr>
            </w:pPr>
            <w:r>
              <w:rPr>
                <w:color w:val="auto"/>
              </w:rPr>
              <w:t>6.1.1</w:t>
            </w:r>
          </w:p>
        </w:tc>
        <w:tc>
          <w:tcPr>
            <w:tcW w:w="2155" w:type="dxa"/>
            <w:vAlign w:val="center"/>
          </w:tcPr>
          <w:p w14:paraId="2D97A5CA">
            <w:pPr>
              <w:pStyle w:val="54"/>
              <w:rPr>
                <w:rFonts w:hint="default"/>
                <w:color w:val="auto"/>
              </w:rPr>
            </w:pPr>
            <w:r>
              <w:rPr>
                <w:color w:val="auto"/>
              </w:rPr>
              <w:t>评审委员会的组建</w:t>
            </w:r>
          </w:p>
        </w:tc>
        <w:tc>
          <w:tcPr>
            <w:tcW w:w="5289" w:type="dxa"/>
            <w:vAlign w:val="center"/>
          </w:tcPr>
          <w:p w14:paraId="4364F29D">
            <w:pPr>
              <w:pStyle w:val="43"/>
              <w:ind w:firstLine="420"/>
              <w:rPr>
                <w:color w:val="auto"/>
              </w:rPr>
            </w:pPr>
            <w:r>
              <w:rPr>
                <w:rFonts w:hint="eastAsia"/>
                <w:color w:val="auto"/>
              </w:rPr>
              <w:t>评审委员会构成：3人；由采购人按法律法规及相关规定依法组建评审委员会。</w:t>
            </w:r>
          </w:p>
        </w:tc>
      </w:tr>
      <w:tr w14:paraId="29C7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674A7429">
            <w:pPr>
              <w:pStyle w:val="54"/>
              <w:rPr>
                <w:rFonts w:hint="default"/>
                <w:color w:val="auto"/>
              </w:rPr>
            </w:pPr>
            <w:r>
              <w:rPr>
                <w:color w:val="auto"/>
              </w:rPr>
              <w:t>7.1</w:t>
            </w:r>
          </w:p>
        </w:tc>
        <w:tc>
          <w:tcPr>
            <w:tcW w:w="2155" w:type="dxa"/>
            <w:vAlign w:val="center"/>
          </w:tcPr>
          <w:p w14:paraId="36239A9D">
            <w:pPr>
              <w:pStyle w:val="54"/>
              <w:rPr>
                <w:rFonts w:hint="default"/>
                <w:color w:val="auto"/>
              </w:rPr>
            </w:pPr>
            <w:r>
              <w:rPr>
                <w:color w:val="auto"/>
              </w:rPr>
              <w:t>定标方式</w:t>
            </w:r>
          </w:p>
        </w:tc>
        <w:tc>
          <w:tcPr>
            <w:tcW w:w="5289" w:type="dxa"/>
            <w:vAlign w:val="center"/>
          </w:tcPr>
          <w:p w14:paraId="7B8B77FE">
            <w:pPr>
              <w:pStyle w:val="43"/>
              <w:ind w:firstLine="420"/>
              <w:rPr>
                <w:color w:val="auto"/>
              </w:rPr>
            </w:pPr>
            <w:r>
              <w:rPr>
                <w:rFonts w:hint="eastAsia"/>
                <w:color w:val="auto"/>
              </w:rPr>
              <w:t>是否授权评审委员会确定成交供应商：</w:t>
            </w:r>
          </w:p>
          <w:p w14:paraId="63D91FEE">
            <w:pPr>
              <w:pStyle w:val="43"/>
              <w:ind w:firstLine="420"/>
              <w:rPr>
                <w:color w:val="auto"/>
              </w:rPr>
            </w:pPr>
            <w:r>
              <w:rPr>
                <w:rFonts w:hint="eastAsia"/>
                <w:color w:val="auto"/>
              </w:rPr>
              <w:t>□是</w:t>
            </w:r>
          </w:p>
          <w:p w14:paraId="19202810">
            <w:pPr>
              <w:pStyle w:val="43"/>
              <w:ind w:firstLine="420"/>
              <w:rPr>
                <w:color w:val="auto"/>
              </w:rPr>
            </w:pPr>
            <w:r>
              <w:rPr>
                <w:rFonts w:hint="eastAsia"/>
                <w:color w:val="auto"/>
              </w:rPr>
              <w:t>☑否，按评审排序确定成交供应商，成交供应商数量：</w:t>
            </w:r>
            <w:r>
              <w:rPr>
                <w:rFonts w:hint="eastAsia"/>
                <w:color w:val="auto"/>
                <w:u w:val="single"/>
              </w:rPr>
              <w:t xml:space="preserve"> 1 </w:t>
            </w:r>
            <w:r>
              <w:rPr>
                <w:rFonts w:hint="eastAsia"/>
                <w:color w:val="auto"/>
              </w:rPr>
              <w:t>。</w:t>
            </w:r>
          </w:p>
        </w:tc>
      </w:tr>
      <w:tr w14:paraId="6A0E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383C0C5">
            <w:pPr>
              <w:pStyle w:val="54"/>
              <w:rPr>
                <w:rFonts w:hint="default"/>
                <w:color w:val="auto"/>
              </w:rPr>
            </w:pPr>
            <w:r>
              <w:rPr>
                <w:color w:val="auto"/>
              </w:rPr>
              <w:t>7.2</w:t>
            </w:r>
          </w:p>
        </w:tc>
        <w:tc>
          <w:tcPr>
            <w:tcW w:w="2155" w:type="dxa"/>
            <w:vAlign w:val="center"/>
          </w:tcPr>
          <w:p w14:paraId="3EA58C77">
            <w:pPr>
              <w:pStyle w:val="54"/>
              <w:rPr>
                <w:rFonts w:hint="default"/>
                <w:color w:val="auto"/>
              </w:rPr>
            </w:pPr>
            <w:r>
              <w:rPr>
                <w:color w:val="auto"/>
              </w:rPr>
              <w:t>成交结果公示</w:t>
            </w:r>
          </w:p>
        </w:tc>
        <w:tc>
          <w:tcPr>
            <w:tcW w:w="5289" w:type="dxa"/>
            <w:vAlign w:val="center"/>
          </w:tcPr>
          <w:p w14:paraId="1A614CB7">
            <w:pPr>
              <w:pStyle w:val="43"/>
              <w:ind w:firstLine="420"/>
              <w:rPr>
                <w:color w:val="auto"/>
              </w:rPr>
            </w:pPr>
            <w:r>
              <w:rPr>
                <w:rFonts w:hint="eastAsia"/>
                <w:color w:val="auto"/>
              </w:rPr>
              <w:t>公示媒介：重庆市公共资源交易网</w:t>
            </w:r>
          </w:p>
          <w:p w14:paraId="319429F8">
            <w:pPr>
              <w:pStyle w:val="43"/>
              <w:ind w:firstLine="420"/>
              <w:rPr>
                <w:color w:val="auto"/>
              </w:rPr>
            </w:pPr>
            <w:r>
              <w:rPr>
                <w:rFonts w:hint="eastAsia"/>
                <w:color w:val="auto"/>
              </w:rPr>
              <w:t>公示期限：   3   日</w:t>
            </w:r>
          </w:p>
        </w:tc>
      </w:tr>
      <w:tr w14:paraId="2DC7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994DB3F">
            <w:pPr>
              <w:pStyle w:val="54"/>
              <w:rPr>
                <w:rFonts w:hint="default"/>
                <w:color w:val="auto"/>
              </w:rPr>
            </w:pPr>
            <w:r>
              <w:rPr>
                <w:color w:val="auto"/>
              </w:rPr>
              <w:t>7.4</w:t>
            </w:r>
          </w:p>
        </w:tc>
        <w:tc>
          <w:tcPr>
            <w:tcW w:w="2155" w:type="dxa"/>
            <w:vAlign w:val="center"/>
          </w:tcPr>
          <w:p w14:paraId="2728AFF0">
            <w:pPr>
              <w:pStyle w:val="54"/>
              <w:rPr>
                <w:rFonts w:hint="default"/>
                <w:color w:val="auto"/>
              </w:rPr>
            </w:pPr>
            <w:r>
              <w:rPr>
                <w:color w:val="auto"/>
              </w:rPr>
              <w:t>履约担保</w:t>
            </w:r>
          </w:p>
        </w:tc>
        <w:tc>
          <w:tcPr>
            <w:tcW w:w="5289" w:type="dxa"/>
            <w:vAlign w:val="center"/>
          </w:tcPr>
          <w:p w14:paraId="407622E5">
            <w:pPr>
              <w:pStyle w:val="43"/>
              <w:spacing w:before="0" w:after="0"/>
              <w:ind w:firstLine="420"/>
              <w:rPr>
                <w:color w:val="auto"/>
              </w:rPr>
            </w:pPr>
            <w:r>
              <w:rPr>
                <w:rFonts w:hint="eastAsia"/>
                <w:color w:val="auto"/>
              </w:rPr>
              <w:t>无</w:t>
            </w:r>
          </w:p>
        </w:tc>
      </w:tr>
      <w:tr w14:paraId="4D00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4C3B37B">
            <w:pPr>
              <w:pStyle w:val="54"/>
              <w:rPr>
                <w:rFonts w:hint="default"/>
                <w:color w:val="auto"/>
              </w:rPr>
            </w:pPr>
            <w:r>
              <w:rPr>
                <w:color w:val="auto"/>
              </w:rPr>
              <w:t>10</w:t>
            </w:r>
          </w:p>
        </w:tc>
        <w:tc>
          <w:tcPr>
            <w:tcW w:w="2155" w:type="dxa"/>
            <w:vAlign w:val="center"/>
          </w:tcPr>
          <w:p w14:paraId="56729D0D">
            <w:pPr>
              <w:pStyle w:val="54"/>
              <w:rPr>
                <w:rFonts w:hint="default"/>
                <w:color w:val="auto"/>
              </w:rPr>
            </w:pPr>
            <w:r>
              <w:rPr>
                <w:color w:val="auto"/>
              </w:rPr>
              <w:t>交易相关费用</w:t>
            </w:r>
          </w:p>
        </w:tc>
        <w:tc>
          <w:tcPr>
            <w:tcW w:w="5289" w:type="dxa"/>
            <w:vAlign w:val="center"/>
          </w:tcPr>
          <w:p w14:paraId="3F1FE673">
            <w:pPr>
              <w:pStyle w:val="43"/>
              <w:ind w:firstLine="420"/>
              <w:rPr>
                <w:color w:val="auto"/>
              </w:rPr>
            </w:pPr>
            <w:r>
              <w:rPr>
                <w:color w:val="auto"/>
              </w:rPr>
              <w:t>响应人参与本询比项目时，一切与响应有关的费用均由响应人自理。</w:t>
            </w:r>
          </w:p>
          <w:p w14:paraId="11F58CDF">
            <w:pPr>
              <w:pStyle w:val="43"/>
              <w:ind w:firstLine="420"/>
              <w:rPr>
                <w:color w:val="auto"/>
              </w:rPr>
            </w:pPr>
            <w:r>
              <w:rPr>
                <w:rFonts w:hint="eastAsia"/>
                <w:color w:val="auto"/>
              </w:rPr>
              <w:t>本项目平台服务费按如下标准收取：</w:t>
            </w:r>
          </w:p>
          <w:p w14:paraId="6583E69A">
            <w:pPr>
              <w:pStyle w:val="43"/>
              <w:ind w:firstLine="420"/>
              <w:rPr>
                <w:color w:val="auto"/>
              </w:rPr>
            </w:pPr>
            <w:r>
              <w:rPr>
                <w:color w:val="auto"/>
              </w:rPr>
              <w:t>每个标段（包）采购成交总金额≤50万元的，按0.8万元/标段（包）收取</w:t>
            </w:r>
            <w:r>
              <w:rPr>
                <w:rFonts w:hint="eastAsia"/>
                <w:color w:val="auto"/>
              </w:rPr>
              <w:t>。</w:t>
            </w:r>
          </w:p>
          <w:p w14:paraId="2A5DA192">
            <w:pPr>
              <w:pStyle w:val="43"/>
              <w:ind w:firstLine="420"/>
              <w:rPr>
                <w:color w:val="auto"/>
              </w:rPr>
            </w:pPr>
            <w:r>
              <w:rPr>
                <w:color w:val="auto"/>
              </w:rPr>
              <w:t>每个标段（包）采购成交总金额＞50万元的，按</w:t>
            </w:r>
            <w:r>
              <w:rPr>
                <w:rFonts w:hint="eastAsia"/>
                <w:color w:val="auto"/>
              </w:rPr>
              <w:t>下表</w:t>
            </w:r>
            <w:r>
              <w:rPr>
                <w:color w:val="auto"/>
              </w:rPr>
              <w:t>比例（按差额定率累进计算方式）收取交易服务费，不足1.5万元的，按1.5万元收取：</w:t>
            </w:r>
          </w:p>
          <w:tbl>
            <w:tblPr>
              <w:tblStyle w:val="19"/>
              <w:tblW w:w="5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046"/>
            </w:tblGrid>
            <w:tr w14:paraId="1D3A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163" w:type="dxa"/>
                  <w:vAlign w:val="center"/>
                </w:tcPr>
                <w:p w14:paraId="045EB5C4">
                  <w:pPr>
                    <w:pStyle w:val="44"/>
                    <w:rPr>
                      <w:color w:val="auto"/>
                    </w:rPr>
                  </w:pPr>
                  <w:r>
                    <w:rPr>
                      <w:color w:val="auto"/>
                    </w:rPr>
                    <w:t>每个标段（包）采购成交总</w:t>
                  </w:r>
                  <w:r>
                    <w:rPr>
                      <w:rFonts w:hint="eastAsia"/>
                      <w:color w:val="auto"/>
                    </w:rPr>
                    <w:t>金额</w:t>
                  </w:r>
                </w:p>
              </w:tc>
              <w:tc>
                <w:tcPr>
                  <w:tcW w:w="1937" w:type="dxa"/>
                  <w:vAlign w:val="center"/>
                </w:tcPr>
                <w:p w14:paraId="31E411DE">
                  <w:pPr>
                    <w:pStyle w:val="44"/>
                    <w:rPr>
                      <w:color w:val="auto"/>
                    </w:rPr>
                  </w:pPr>
                  <w:r>
                    <w:rPr>
                      <w:color w:val="auto"/>
                    </w:rPr>
                    <w:t>收费比例</w:t>
                  </w:r>
                </w:p>
              </w:tc>
            </w:tr>
            <w:tr w14:paraId="1EE3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659ED34">
                  <w:pPr>
                    <w:ind w:firstLine="420"/>
                    <w:jc w:val="left"/>
                    <w:rPr>
                      <w:color w:val="auto"/>
                    </w:rPr>
                  </w:pPr>
                  <w:r>
                    <w:rPr>
                      <w:color w:val="auto"/>
                    </w:rPr>
                    <w:t>0-1000（含）万元</w:t>
                  </w:r>
                  <w:r>
                    <w:rPr>
                      <w:rFonts w:hint="eastAsia"/>
                      <w:color w:val="auto"/>
                    </w:rPr>
                    <w:t>部分</w:t>
                  </w:r>
                </w:p>
              </w:tc>
              <w:tc>
                <w:tcPr>
                  <w:tcW w:w="1937" w:type="dxa"/>
                  <w:tcBorders>
                    <w:left w:val="single" w:color="auto" w:sz="4" w:space="0"/>
                  </w:tcBorders>
                  <w:vAlign w:val="center"/>
                </w:tcPr>
                <w:p w14:paraId="3F3A131C">
                  <w:pPr>
                    <w:ind w:firstLine="420"/>
                    <w:jc w:val="left"/>
                    <w:rPr>
                      <w:color w:val="auto"/>
                    </w:rPr>
                  </w:pPr>
                  <w:r>
                    <w:rPr>
                      <w:color w:val="auto"/>
                    </w:rPr>
                    <w:t>5‰</w:t>
                  </w:r>
                </w:p>
              </w:tc>
            </w:tr>
            <w:tr w14:paraId="399D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1A92E516">
                  <w:pPr>
                    <w:ind w:firstLine="420"/>
                    <w:jc w:val="left"/>
                    <w:rPr>
                      <w:color w:val="auto"/>
                    </w:rPr>
                  </w:pPr>
                  <w:r>
                    <w:rPr>
                      <w:color w:val="auto"/>
                    </w:rPr>
                    <w:t>1000-3000（含）万元</w:t>
                  </w:r>
                  <w:r>
                    <w:rPr>
                      <w:rFonts w:hint="eastAsia"/>
                      <w:color w:val="auto"/>
                    </w:rPr>
                    <w:t>部分</w:t>
                  </w:r>
                </w:p>
              </w:tc>
              <w:tc>
                <w:tcPr>
                  <w:tcW w:w="1937" w:type="dxa"/>
                  <w:tcBorders>
                    <w:left w:val="single" w:color="auto" w:sz="4" w:space="0"/>
                  </w:tcBorders>
                  <w:vAlign w:val="center"/>
                </w:tcPr>
                <w:p w14:paraId="07A6DEA1">
                  <w:pPr>
                    <w:ind w:firstLine="420"/>
                    <w:jc w:val="left"/>
                    <w:rPr>
                      <w:color w:val="auto"/>
                    </w:rPr>
                  </w:pPr>
                  <w:r>
                    <w:rPr>
                      <w:color w:val="auto"/>
                    </w:rPr>
                    <w:t>2.5‰</w:t>
                  </w:r>
                </w:p>
              </w:tc>
            </w:tr>
            <w:tr w14:paraId="164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2D467C5B">
                  <w:pPr>
                    <w:ind w:firstLine="420"/>
                    <w:jc w:val="left"/>
                    <w:rPr>
                      <w:color w:val="auto"/>
                    </w:rPr>
                  </w:pPr>
                  <w:r>
                    <w:rPr>
                      <w:color w:val="auto"/>
                    </w:rPr>
                    <w:t>3000-10000（含）万元</w:t>
                  </w:r>
                  <w:r>
                    <w:rPr>
                      <w:rFonts w:hint="eastAsia"/>
                      <w:color w:val="auto"/>
                    </w:rPr>
                    <w:t>部分</w:t>
                  </w:r>
                </w:p>
              </w:tc>
              <w:tc>
                <w:tcPr>
                  <w:tcW w:w="1937" w:type="dxa"/>
                  <w:tcBorders>
                    <w:left w:val="single" w:color="auto" w:sz="4" w:space="0"/>
                  </w:tcBorders>
                  <w:vAlign w:val="center"/>
                </w:tcPr>
                <w:p w14:paraId="3BC6A7F1">
                  <w:pPr>
                    <w:ind w:firstLine="420"/>
                    <w:jc w:val="left"/>
                    <w:rPr>
                      <w:color w:val="auto"/>
                    </w:rPr>
                  </w:pPr>
                  <w:r>
                    <w:rPr>
                      <w:color w:val="auto"/>
                    </w:rPr>
                    <w:t>1‰</w:t>
                  </w:r>
                </w:p>
              </w:tc>
            </w:tr>
            <w:tr w14:paraId="4752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12AC955E">
                  <w:pPr>
                    <w:ind w:firstLine="420"/>
                    <w:jc w:val="left"/>
                    <w:rPr>
                      <w:color w:val="auto"/>
                    </w:rPr>
                  </w:pPr>
                  <w:r>
                    <w:rPr>
                      <w:color w:val="auto"/>
                    </w:rPr>
                    <w:t>10000万元以上</w:t>
                  </w:r>
                  <w:r>
                    <w:rPr>
                      <w:rFonts w:hint="eastAsia"/>
                      <w:color w:val="auto"/>
                    </w:rPr>
                    <w:t>部分</w:t>
                  </w:r>
                </w:p>
              </w:tc>
              <w:tc>
                <w:tcPr>
                  <w:tcW w:w="1937" w:type="dxa"/>
                  <w:tcBorders>
                    <w:left w:val="single" w:color="auto" w:sz="4" w:space="0"/>
                  </w:tcBorders>
                  <w:vAlign w:val="center"/>
                </w:tcPr>
                <w:p w14:paraId="1802D3AF">
                  <w:pPr>
                    <w:ind w:firstLine="420"/>
                    <w:jc w:val="left"/>
                    <w:rPr>
                      <w:color w:val="auto"/>
                    </w:rPr>
                  </w:pPr>
                  <w:r>
                    <w:rPr>
                      <w:color w:val="auto"/>
                    </w:rPr>
                    <w:t>0.5‰</w:t>
                  </w:r>
                </w:p>
              </w:tc>
            </w:tr>
          </w:tbl>
          <w:p w14:paraId="7BDF0331">
            <w:pPr>
              <w:pStyle w:val="43"/>
              <w:ind w:firstLine="420"/>
              <w:rPr>
                <w:color w:val="auto"/>
              </w:rPr>
            </w:pPr>
            <w:r>
              <w:rPr>
                <w:color w:val="auto"/>
              </w:rPr>
              <w:t>例如：某平台服务的某标段（包）采购成交总金额3200万元，计算</w:t>
            </w:r>
            <w:r>
              <w:rPr>
                <w:rFonts w:hint="eastAsia"/>
                <w:color w:val="auto"/>
              </w:rPr>
              <w:t>交易服务费</w:t>
            </w:r>
            <w:r>
              <w:rPr>
                <w:color w:val="auto"/>
              </w:rPr>
              <w:t>收费额如下：</w:t>
            </w:r>
          </w:p>
          <w:p w14:paraId="07D257A0">
            <w:pPr>
              <w:pStyle w:val="43"/>
              <w:ind w:firstLine="420"/>
              <w:rPr>
                <w:color w:val="auto"/>
              </w:rPr>
            </w:pPr>
            <w:r>
              <w:rPr>
                <w:color w:val="auto"/>
              </w:rPr>
              <w:t>1000万元×5‰=5万元</w:t>
            </w:r>
          </w:p>
          <w:p w14:paraId="4F1A1BE5">
            <w:pPr>
              <w:pStyle w:val="43"/>
              <w:ind w:firstLine="420"/>
              <w:rPr>
                <w:color w:val="auto"/>
              </w:rPr>
            </w:pPr>
            <w:r>
              <w:rPr>
                <w:color w:val="auto"/>
              </w:rPr>
              <w:t>（3000-1000）万元×2.5‰=5万元</w:t>
            </w:r>
          </w:p>
          <w:p w14:paraId="7489D34F">
            <w:pPr>
              <w:pStyle w:val="43"/>
              <w:ind w:firstLine="420"/>
              <w:rPr>
                <w:color w:val="auto"/>
              </w:rPr>
            </w:pPr>
            <w:r>
              <w:rPr>
                <w:color w:val="auto"/>
              </w:rPr>
              <w:t>（3200-3000）万元×1‰=0.2万元</w:t>
            </w:r>
          </w:p>
          <w:p w14:paraId="27FA4B2F">
            <w:pPr>
              <w:pStyle w:val="43"/>
              <w:ind w:firstLine="420"/>
              <w:rPr>
                <w:color w:val="auto"/>
              </w:rPr>
            </w:pPr>
            <w:r>
              <w:rPr>
                <w:color w:val="auto"/>
              </w:rPr>
              <w:t>合计收费：=5+5+0.2=10.2万元</w:t>
            </w:r>
          </w:p>
          <w:p w14:paraId="27EB1577">
            <w:pPr>
              <w:pStyle w:val="43"/>
              <w:ind w:firstLine="420"/>
              <w:rPr>
                <w:color w:val="auto"/>
              </w:rPr>
            </w:pPr>
            <w:r>
              <w:rPr>
                <w:rFonts w:hint="eastAsia"/>
                <w:color w:val="auto"/>
              </w:rPr>
              <w:t>平台服务费由成交供应商向重庆联合产权交易所集团股份有限公司支付。成交供应商应在领取成交通知书时一次性缴纳，请各响应人综合考虑进行报价。</w:t>
            </w:r>
          </w:p>
        </w:tc>
      </w:tr>
      <w:tr w14:paraId="34BF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BF2012D">
            <w:pPr>
              <w:pStyle w:val="54"/>
              <w:rPr>
                <w:rFonts w:hint="default"/>
                <w:color w:val="auto"/>
              </w:rPr>
            </w:pPr>
            <w:r>
              <w:rPr>
                <w:color w:val="auto"/>
              </w:rPr>
              <w:t>11</w:t>
            </w:r>
          </w:p>
        </w:tc>
        <w:tc>
          <w:tcPr>
            <w:tcW w:w="2155" w:type="dxa"/>
            <w:vAlign w:val="center"/>
          </w:tcPr>
          <w:p w14:paraId="474475CF">
            <w:pPr>
              <w:pStyle w:val="54"/>
              <w:rPr>
                <w:rFonts w:hint="default"/>
                <w:color w:val="auto"/>
              </w:rPr>
            </w:pPr>
            <w:r>
              <w:rPr>
                <w:color w:val="auto"/>
              </w:rPr>
              <w:t>需要补充的其他内容</w:t>
            </w:r>
          </w:p>
        </w:tc>
        <w:tc>
          <w:tcPr>
            <w:tcW w:w="5289" w:type="dxa"/>
            <w:vAlign w:val="center"/>
          </w:tcPr>
          <w:p w14:paraId="0BE14EC0">
            <w:pPr>
              <w:pStyle w:val="43"/>
              <w:ind w:firstLine="420"/>
              <w:rPr>
                <w:color w:val="auto"/>
              </w:rPr>
            </w:pPr>
            <w:r>
              <w:rPr>
                <w:rFonts w:hint="eastAsia"/>
                <w:color w:val="auto"/>
              </w:rPr>
              <w:t>无</w:t>
            </w:r>
          </w:p>
        </w:tc>
      </w:tr>
    </w:tbl>
    <w:p w14:paraId="002B4F02">
      <w:pPr>
        <w:ind w:firstLine="420"/>
        <w:rPr>
          <w:rFonts w:hint="eastAsia" w:ascii="宋体" w:hAnsi="宋体" w:cs="宋体"/>
          <w:color w:val="auto"/>
        </w:rPr>
      </w:pPr>
      <w:r>
        <w:rPr>
          <w:rFonts w:hint="eastAsia" w:ascii="宋体" w:hAnsi="宋体" w:cs="宋体"/>
          <w:color w:val="auto"/>
        </w:rPr>
        <w:br w:type="page"/>
      </w:r>
    </w:p>
    <w:p w14:paraId="6AE12868">
      <w:pPr>
        <w:pStyle w:val="3"/>
        <w:rPr>
          <w:color w:val="auto"/>
          <w:shd w:val="clear" w:color="FFFFFF" w:fill="D9D9D9"/>
        </w:rPr>
      </w:pPr>
      <w:bookmarkStart w:id="210" w:name="_Toc32653"/>
      <w:bookmarkStart w:id="211" w:name="_Toc9208"/>
      <w:bookmarkStart w:id="212" w:name="_Toc29298"/>
      <w:bookmarkStart w:id="213" w:name="_Toc19537"/>
      <w:bookmarkStart w:id="214" w:name="_Toc27507"/>
      <w:bookmarkStart w:id="215" w:name="_Toc20731"/>
      <w:bookmarkStart w:id="216" w:name="_Toc1688"/>
      <w:bookmarkStart w:id="217" w:name="_Toc29794"/>
      <w:bookmarkStart w:id="218" w:name="_Toc18815"/>
      <w:bookmarkStart w:id="219" w:name="_Toc4800"/>
      <w:bookmarkStart w:id="220" w:name="_Toc30085"/>
      <w:r>
        <w:rPr>
          <w:color w:val="auto"/>
          <w:shd w:val="clear" w:color="FFFFFF" w:fill="D9D9D9"/>
        </w:rPr>
        <w:t>1.</w:t>
      </w:r>
      <w:r>
        <w:rPr>
          <w:rFonts w:hint="eastAsia"/>
          <w:color w:val="auto"/>
          <w:shd w:val="clear" w:color="FFFFFF" w:fill="D9D9D9"/>
        </w:rPr>
        <w:t xml:space="preserve"> 总则</w:t>
      </w:r>
      <w:bookmarkEnd w:id="210"/>
      <w:bookmarkEnd w:id="211"/>
      <w:bookmarkEnd w:id="212"/>
      <w:bookmarkEnd w:id="213"/>
      <w:bookmarkEnd w:id="214"/>
      <w:bookmarkEnd w:id="215"/>
      <w:bookmarkEnd w:id="216"/>
      <w:bookmarkEnd w:id="217"/>
      <w:bookmarkEnd w:id="218"/>
      <w:bookmarkEnd w:id="219"/>
      <w:bookmarkEnd w:id="220"/>
    </w:p>
    <w:p w14:paraId="762F9C0A">
      <w:pPr>
        <w:pStyle w:val="4"/>
        <w:ind w:firstLine="422"/>
        <w:rPr>
          <w:color w:val="auto"/>
          <w:shd w:val="clear" w:color="FFFFFF" w:fill="D9D9D9"/>
        </w:rPr>
      </w:pPr>
      <w:bookmarkStart w:id="221" w:name="_Toc27726"/>
      <w:bookmarkStart w:id="222" w:name="_Toc32315"/>
      <w:bookmarkStart w:id="223" w:name="_Toc26146"/>
      <w:bookmarkStart w:id="224" w:name="_Toc7350"/>
      <w:bookmarkStart w:id="225" w:name="_Toc19120"/>
      <w:bookmarkStart w:id="226" w:name="_Toc8594"/>
      <w:r>
        <w:rPr>
          <w:rFonts w:hint="eastAsia"/>
          <w:color w:val="auto"/>
          <w:shd w:val="clear" w:color="FFFFFF" w:fill="D9D9D9"/>
        </w:rPr>
        <w:t>1.1 询比项目概况</w:t>
      </w:r>
      <w:bookmarkEnd w:id="221"/>
      <w:bookmarkEnd w:id="222"/>
      <w:bookmarkEnd w:id="223"/>
      <w:bookmarkEnd w:id="224"/>
      <w:bookmarkEnd w:id="225"/>
      <w:bookmarkEnd w:id="226"/>
    </w:p>
    <w:p w14:paraId="790E1EC3">
      <w:pPr>
        <w:ind w:firstLine="420"/>
        <w:rPr>
          <w:color w:val="auto"/>
          <w:shd w:val="clear" w:color="FFFFFF" w:fill="D9D9D9"/>
        </w:rPr>
      </w:pPr>
      <w:r>
        <w:rPr>
          <w:rFonts w:hint="eastAsia"/>
          <w:color w:val="auto"/>
          <w:shd w:val="clear" w:color="FFFFFF" w:fill="D9D9D9"/>
        </w:rPr>
        <w:t>1.1.1 本项目为非依法必须招标的自主采购项目，按照《中华人民共和国招标投标法》等相关法律法规的精神，结合采购人</w:t>
      </w:r>
      <w:r>
        <w:rPr>
          <w:color w:val="auto"/>
          <w:shd w:val="clear" w:color="FFFFFF" w:fill="D9D9D9"/>
        </w:rPr>
        <w:t>实际情况</w:t>
      </w:r>
      <w:r>
        <w:rPr>
          <w:rFonts w:hint="eastAsia"/>
          <w:color w:val="auto"/>
          <w:shd w:val="clear" w:color="FFFFFF" w:fill="D9D9D9"/>
        </w:rPr>
        <w:t>组织本次询比。</w:t>
      </w:r>
    </w:p>
    <w:p w14:paraId="3507DD88">
      <w:pPr>
        <w:ind w:firstLine="420"/>
        <w:rPr>
          <w:color w:val="auto"/>
          <w:shd w:val="clear" w:color="FFFFFF" w:fill="D9D9D9"/>
        </w:rPr>
      </w:pPr>
      <w:r>
        <w:rPr>
          <w:rFonts w:hint="eastAsia"/>
          <w:color w:val="auto"/>
          <w:shd w:val="clear" w:color="FFFFFF" w:fill="D9D9D9"/>
        </w:rPr>
        <w:t>1.1.2 采购人：见询比公告。</w:t>
      </w:r>
    </w:p>
    <w:p w14:paraId="30D3E8A1">
      <w:pPr>
        <w:ind w:firstLine="420"/>
        <w:rPr>
          <w:color w:val="auto"/>
          <w:shd w:val="clear" w:color="FFFFFF" w:fill="D9D9D9"/>
        </w:rPr>
      </w:pPr>
      <w:r>
        <w:rPr>
          <w:rFonts w:hint="eastAsia"/>
          <w:color w:val="auto"/>
          <w:shd w:val="clear" w:color="FFFFFF" w:fill="D9D9D9"/>
        </w:rPr>
        <w:t>1.1.3 询比项目名称：见询比公告。</w:t>
      </w:r>
    </w:p>
    <w:p w14:paraId="2B7A3FE7">
      <w:pPr>
        <w:pStyle w:val="4"/>
        <w:ind w:firstLine="422"/>
        <w:rPr>
          <w:color w:val="auto"/>
          <w:shd w:val="clear" w:color="FFFFFF" w:fill="D9D9D9"/>
        </w:rPr>
      </w:pPr>
      <w:bookmarkStart w:id="227" w:name="_bookmark23"/>
      <w:bookmarkEnd w:id="227"/>
      <w:bookmarkStart w:id="228" w:name="_Toc10247"/>
      <w:bookmarkStart w:id="229" w:name="_Toc21937"/>
      <w:bookmarkStart w:id="230" w:name="_Toc12694"/>
      <w:bookmarkStart w:id="231" w:name="_Toc19916"/>
      <w:bookmarkStart w:id="232" w:name="_Toc20761"/>
      <w:bookmarkStart w:id="233" w:name="_Toc12249"/>
      <w:r>
        <w:rPr>
          <w:rFonts w:hint="eastAsia"/>
          <w:color w:val="auto"/>
          <w:shd w:val="clear" w:color="FFFFFF" w:fill="D9D9D9"/>
        </w:rPr>
        <w:t>1.2 询比项目的资金来源和落实情况</w:t>
      </w:r>
      <w:bookmarkEnd w:id="228"/>
      <w:bookmarkEnd w:id="229"/>
      <w:bookmarkEnd w:id="230"/>
      <w:bookmarkEnd w:id="231"/>
      <w:bookmarkEnd w:id="232"/>
      <w:bookmarkEnd w:id="233"/>
    </w:p>
    <w:p w14:paraId="45342EFB">
      <w:pPr>
        <w:ind w:firstLine="420"/>
        <w:rPr>
          <w:color w:val="auto"/>
          <w:shd w:val="clear" w:color="FFFFFF" w:fill="D9D9D9"/>
        </w:rPr>
      </w:pPr>
      <w:r>
        <w:rPr>
          <w:rFonts w:hint="eastAsia"/>
          <w:color w:val="auto"/>
          <w:shd w:val="clear" w:color="FFFFFF" w:fill="D9D9D9"/>
        </w:rPr>
        <w:t>1.2.1 资金来源：见询比公告。</w:t>
      </w:r>
    </w:p>
    <w:p w14:paraId="1C4DE7F9">
      <w:pPr>
        <w:ind w:firstLine="420"/>
        <w:rPr>
          <w:color w:val="auto"/>
          <w:shd w:val="clear" w:color="FFFFFF" w:fill="D9D9D9"/>
        </w:rPr>
      </w:pPr>
      <w:bookmarkStart w:id="234" w:name="_bookmark24"/>
      <w:bookmarkEnd w:id="234"/>
      <w:r>
        <w:rPr>
          <w:rFonts w:hint="eastAsia"/>
          <w:color w:val="auto"/>
          <w:shd w:val="clear" w:color="FFFFFF" w:fill="D9D9D9"/>
        </w:rPr>
        <w:t>1.2.2 资金落实情况：见询比公告。</w:t>
      </w:r>
    </w:p>
    <w:p w14:paraId="5500205E">
      <w:pPr>
        <w:pStyle w:val="4"/>
        <w:ind w:firstLine="422"/>
        <w:rPr>
          <w:color w:val="auto"/>
          <w:shd w:val="clear" w:color="FFFFFF" w:fill="D9D9D9"/>
        </w:rPr>
      </w:pPr>
      <w:bookmarkStart w:id="235" w:name="_Toc144974500"/>
      <w:bookmarkStart w:id="236" w:name="_Toc12312"/>
      <w:bookmarkStart w:id="237" w:name="_Toc179632549"/>
      <w:bookmarkStart w:id="238" w:name="_Toc246996178"/>
      <w:bookmarkStart w:id="239" w:name="_Toc152045532"/>
      <w:bookmarkStart w:id="240" w:name="_Toc6874"/>
      <w:bookmarkStart w:id="241" w:name="_Toc152042308"/>
      <w:bookmarkStart w:id="242" w:name="_Toc11922"/>
      <w:bookmarkStart w:id="243" w:name="_Toc15019"/>
      <w:bookmarkStart w:id="244" w:name="_Toc247085692"/>
      <w:bookmarkStart w:id="245" w:name="_Toc25813"/>
      <w:bookmarkStart w:id="246" w:name="_Toc246996921"/>
      <w:bookmarkStart w:id="247" w:name="_Toc296602423"/>
      <w:bookmarkStart w:id="248" w:name="_Toc1470"/>
      <w:r>
        <w:rPr>
          <w:rFonts w:hint="eastAsia"/>
          <w:color w:val="auto"/>
          <w:shd w:val="clear" w:color="FFFFFF" w:fill="D9D9D9"/>
        </w:rPr>
        <w:t>1.3 询比</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Fonts w:hint="eastAsia"/>
          <w:color w:val="auto"/>
          <w:shd w:val="clear" w:color="FFFFFF" w:fill="D9D9D9"/>
        </w:rPr>
        <w:t>内容</w:t>
      </w:r>
    </w:p>
    <w:p w14:paraId="7CE7424C">
      <w:pPr>
        <w:ind w:firstLine="420"/>
        <w:rPr>
          <w:color w:val="auto"/>
          <w:shd w:val="clear" w:color="FFFFFF" w:fill="D9D9D9"/>
        </w:rPr>
      </w:pPr>
      <w:r>
        <w:rPr>
          <w:rFonts w:hint="eastAsia"/>
          <w:color w:val="auto"/>
          <w:shd w:val="clear" w:color="FFFFFF" w:fill="D9D9D9"/>
        </w:rPr>
        <w:t>1.3.1 本次询比范围：见询比公告。</w:t>
      </w:r>
    </w:p>
    <w:p w14:paraId="7F8885DE">
      <w:pPr>
        <w:ind w:firstLine="420"/>
        <w:rPr>
          <w:color w:val="auto"/>
          <w:shd w:val="clear" w:color="FFFFFF" w:fill="D9D9D9"/>
        </w:rPr>
      </w:pPr>
      <w:r>
        <w:rPr>
          <w:rFonts w:hint="eastAsia"/>
          <w:color w:val="auto"/>
          <w:shd w:val="clear" w:color="FFFFFF" w:fill="D9D9D9"/>
        </w:rPr>
        <w:t>1.3.2 本次询比时间要求：见询比公告。</w:t>
      </w:r>
    </w:p>
    <w:p w14:paraId="5649EBB6">
      <w:pPr>
        <w:ind w:firstLine="420"/>
        <w:rPr>
          <w:color w:val="auto"/>
          <w:shd w:val="clear" w:color="FFFFFF" w:fill="D9D9D9"/>
        </w:rPr>
      </w:pPr>
      <w:r>
        <w:rPr>
          <w:rFonts w:hint="eastAsia"/>
          <w:color w:val="auto"/>
          <w:shd w:val="clear" w:color="FFFFFF" w:fill="D9D9D9"/>
        </w:rPr>
        <w:t>1.3.3 本次询比地点要求：见询比公告。</w:t>
      </w:r>
    </w:p>
    <w:p w14:paraId="00EE20E9">
      <w:pPr>
        <w:ind w:firstLine="420"/>
        <w:rPr>
          <w:color w:val="auto"/>
          <w:shd w:val="clear" w:color="FFFFFF" w:fill="D9D9D9"/>
        </w:rPr>
      </w:pPr>
      <w:r>
        <w:rPr>
          <w:rFonts w:hint="eastAsia"/>
          <w:color w:val="auto"/>
          <w:shd w:val="clear" w:color="FFFFFF" w:fill="D9D9D9"/>
        </w:rPr>
        <w:t>1.3.4 本次询比其他要求：见询比公告。</w:t>
      </w:r>
    </w:p>
    <w:p w14:paraId="70B911B5">
      <w:pPr>
        <w:pStyle w:val="10"/>
        <w:ind w:firstLine="420"/>
        <w:rPr>
          <w:color w:val="auto"/>
          <w:shd w:val="clear" w:color="FFFFFF" w:fill="D9D9D9"/>
        </w:rPr>
      </w:pPr>
      <w:r>
        <w:rPr>
          <w:color w:val="auto"/>
          <w:shd w:val="clear" w:color="FFFFFF" w:fill="D9D9D9"/>
        </w:rPr>
        <w:t>1.3.5 质量标准和要求、技术性能指标：符合国家、行业现行标准，并满足询比文件全部要求。</w:t>
      </w:r>
    </w:p>
    <w:p w14:paraId="28846EDA">
      <w:pPr>
        <w:pStyle w:val="4"/>
        <w:ind w:firstLine="422"/>
        <w:rPr>
          <w:color w:val="auto"/>
          <w:shd w:val="clear" w:color="FFFFFF" w:fill="D9D9D9"/>
        </w:rPr>
      </w:pPr>
      <w:bookmarkStart w:id="249" w:name="_Toc22359"/>
      <w:bookmarkStart w:id="250" w:name="_Toc24725"/>
      <w:bookmarkStart w:id="251" w:name="_Toc22871"/>
      <w:bookmarkStart w:id="252" w:name="_Toc9456"/>
      <w:bookmarkStart w:id="253" w:name="_Toc6266"/>
      <w:bookmarkStart w:id="254" w:name="_Toc17091"/>
      <w:r>
        <w:rPr>
          <w:rFonts w:hint="eastAsia"/>
          <w:color w:val="auto"/>
          <w:shd w:val="clear" w:color="FFFFFF" w:fill="D9D9D9"/>
        </w:rPr>
        <w:t>1.4 响应人资格要求</w:t>
      </w:r>
      <w:bookmarkEnd w:id="249"/>
      <w:bookmarkEnd w:id="250"/>
      <w:bookmarkEnd w:id="251"/>
      <w:bookmarkEnd w:id="252"/>
      <w:bookmarkEnd w:id="253"/>
      <w:bookmarkEnd w:id="254"/>
    </w:p>
    <w:p w14:paraId="4A5F4A2C">
      <w:pPr>
        <w:ind w:firstLine="420"/>
        <w:rPr>
          <w:color w:val="auto"/>
          <w:shd w:val="clear" w:color="FFFFFF" w:fill="D9D9D9"/>
        </w:rPr>
      </w:pPr>
      <w:r>
        <w:rPr>
          <w:rFonts w:hint="eastAsia"/>
          <w:color w:val="auto"/>
          <w:shd w:val="clear" w:color="FFFFFF" w:fill="D9D9D9"/>
        </w:rPr>
        <w:t>1.4.1 响应人应具备承担本询比项目资质条件、能力和信誉：</w:t>
      </w:r>
    </w:p>
    <w:p w14:paraId="3FAF1E92">
      <w:pPr>
        <w:ind w:firstLine="420"/>
        <w:rPr>
          <w:color w:val="auto"/>
          <w:shd w:val="clear" w:color="FFFFFF" w:fill="D9D9D9"/>
        </w:rPr>
      </w:pPr>
      <w:r>
        <w:rPr>
          <w:rFonts w:hint="eastAsia"/>
          <w:color w:val="auto"/>
          <w:shd w:val="clear" w:color="FFFFFF" w:fill="D9D9D9"/>
        </w:rPr>
        <w:t>（1）资质条件：见响应人须知前附表；</w:t>
      </w:r>
    </w:p>
    <w:p w14:paraId="4E74C75F">
      <w:pPr>
        <w:ind w:firstLine="420"/>
        <w:rPr>
          <w:color w:val="auto"/>
          <w:shd w:val="clear" w:color="FFFFFF" w:fill="D9D9D9"/>
        </w:rPr>
      </w:pPr>
      <w:r>
        <w:rPr>
          <w:rFonts w:hint="eastAsia"/>
          <w:color w:val="auto"/>
          <w:shd w:val="clear" w:color="FFFFFF" w:fill="D9D9D9"/>
        </w:rPr>
        <w:t>（2）</w:t>
      </w:r>
      <w:r>
        <w:rPr>
          <w:color w:val="auto"/>
          <w:shd w:val="clear" w:color="FFFFFF" w:fill="D9D9D9"/>
        </w:rPr>
        <w:t>其他</w:t>
      </w:r>
      <w:r>
        <w:rPr>
          <w:rFonts w:hint="eastAsia"/>
          <w:color w:val="auto"/>
          <w:shd w:val="clear" w:color="FFFFFF" w:fill="D9D9D9"/>
        </w:rPr>
        <w:t>要求：见响应人须知前附表；</w:t>
      </w:r>
    </w:p>
    <w:p w14:paraId="12C06094">
      <w:pPr>
        <w:ind w:firstLine="420"/>
        <w:rPr>
          <w:color w:val="auto"/>
          <w:shd w:val="clear" w:color="FFFFFF" w:fill="D9D9D9"/>
        </w:rPr>
      </w:pPr>
      <w:r>
        <w:rPr>
          <w:rFonts w:hint="eastAsia"/>
          <w:color w:val="auto"/>
          <w:shd w:val="clear" w:color="FFFFFF" w:fill="D9D9D9"/>
        </w:rPr>
        <w:t>1.4.2 接受联合体响应的，联合体除应符合本章第 1.4.1 项的要求外，还应遵守以下规定：</w:t>
      </w:r>
    </w:p>
    <w:p w14:paraId="2D6F9C35">
      <w:pPr>
        <w:ind w:firstLine="420"/>
        <w:rPr>
          <w:color w:val="auto"/>
          <w:shd w:val="clear" w:color="FFFFFF" w:fill="D9D9D9"/>
        </w:rPr>
      </w:pPr>
      <w:r>
        <w:rPr>
          <w:rFonts w:hint="eastAsia"/>
          <w:color w:val="auto"/>
          <w:shd w:val="clear" w:color="FFFFFF" w:fill="D9D9D9"/>
        </w:rPr>
        <w:t>（1）联合体各方应按询比文件提供的格式签订联合体协议书，明确联合体牵头人和各方权利义务，并承诺就成交项目向采购人承担连带责任；</w:t>
      </w:r>
    </w:p>
    <w:p w14:paraId="53BDE1F2">
      <w:pPr>
        <w:ind w:firstLine="420"/>
        <w:rPr>
          <w:color w:val="auto"/>
          <w:shd w:val="clear" w:color="FFFFFF" w:fill="D9D9D9"/>
        </w:rPr>
      </w:pPr>
      <w:r>
        <w:rPr>
          <w:rFonts w:hint="eastAsia"/>
          <w:color w:val="auto"/>
          <w:shd w:val="clear" w:color="FFFFFF" w:fill="D9D9D9"/>
        </w:rPr>
        <w:t>（2）由同一专业的单位组成的联合体，按照资质等级较低的单位确定资质等级；</w:t>
      </w:r>
    </w:p>
    <w:p w14:paraId="2E91F9A0">
      <w:pPr>
        <w:ind w:firstLine="420"/>
        <w:rPr>
          <w:color w:val="auto"/>
          <w:shd w:val="clear" w:color="FFFFFF" w:fill="D9D9D9"/>
        </w:rPr>
      </w:pPr>
      <w:r>
        <w:rPr>
          <w:rFonts w:hint="eastAsia"/>
          <w:color w:val="auto"/>
          <w:shd w:val="clear" w:color="FFFFFF" w:fill="D9D9D9"/>
        </w:rPr>
        <w:t>（3）联合体各方不得再以自己名义单独或参加其他联合体在本询比项目中响应，否则各相关响应均无效。</w:t>
      </w:r>
    </w:p>
    <w:p w14:paraId="2F5C3AEC">
      <w:pPr>
        <w:ind w:firstLine="420"/>
        <w:rPr>
          <w:color w:val="auto"/>
          <w:shd w:val="clear" w:color="FFFFFF" w:fill="D9D9D9"/>
        </w:rPr>
      </w:pPr>
      <w:r>
        <w:rPr>
          <w:rFonts w:hint="eastAsia"/>
          <w:color w:val="auto"/>
          <w:shd w:val="clear" w:color="FFFFFF" w:fill="D9D9D9"/>
        </w:rPr>
        <w:t>1.4.3 响应人不得存在下列情形之一：</w:t>
      </w:r>
    </w:p>
    <w:p w14:paraId="747B61ED">
      <w:pPr>
        <w:ind w:firstLine="420"/>
        <w:rPr>
          <w:color w:val="auto"/>
          <w:shd w:val="clear" w:color="FFFFFF" w:fill="D9D9D9"/>
        </w:rPr>
      </w:pPr>
      <w:r>
        <w:rPr>
          <w:rFonts w:hint="eastAsia"/>
          <w:color w:val="auto"/>
          <w:shd w:val="clear" w:color="FFFFFF" w:fill="D9D9D9"/>
        </w:rPr>
        <w:t>（1）为采购人不具有独立法人资格的附属机构（单位）；</w:t>
      </w:r>
    </w:p>
    <w:p w14:paraId="5C619E64">
      <w:pPr>
        <w:ind w:firstLine="420"/>
        <w:rPr>
          <w:color w:val="auto"/>
          <w:shd w:val="clear" w:color="FFFFFF" w:fill="D9D9D9"/>
        </w:rPr>
      </w:pPr>
      <w:r>
        <w:rPr>
          <w:rFonts w:hint="eastAsia"/>
          <w:color w:val="auto"/>
          <w:shd w:val="clear" w:color="FFFFFF" w:fill="D9D9D9"/>
        </w:rPr>
        <w:t>（2）与采购人存在利害关系且可能影响询比公正性；</w:t>
      </w:r>
    </w:p>
    <w:p w14:paraId="61FD63D9">
      <w:pPr>
        <w:ind w:firstLine="420"/>
        <w:rPr>
          <w:color w:val="auto"/>
          <w:shd w:val="clear" w:color="FFFFFF" w:fill="D9D9D9"/>
        </w:rPr>
      </w:pPr>
      <w:r>
        <w:rPr>
          <w:rFonts w:hint="eastAsia"/>
          <w:color w:val="auto"/>
          <w:shd w:val="clear" w:color="FFFFFF" w:fill="D9D9D9"/>
        </w:rPr>
        <w:t>（3）与本询比项目的其他响应人为同一个单位负责人；</w:t>
      </w:r>
    </w:p>
    <w:p w14:paraId="3162CDB9">
      <w:pPr>
        <w:ind w:firstLine="420"/>
        <w:rPr>
          <w:color w:val="auto"/>
          <w:shd w:val="clear" w:color="FFFFFF" w:fill="D9D9D9"/>
        </w:rPr>
      </w:pPr>
      <w:r>
        <w:rPr>
          <w:rFonts w:hint="eastAsia"/>
          <w:color w:val="auto"/>
          <w:shd w:val="clear" w:color="FFFFFF" w:fill="D9D9D9"/>
        </w:rPr>
        <w:t>（4）与本询比项目的其他响应人存在控股、管理关系；</w:t>
      </w:r>
    </w:p>
    <w:p w14:paraId="257E73B2">
      <w:pPr>
        <w:ind w:firstLine="420"/>
        <w:rPr>
          <w:color w:val="auto"/>
          <w:shd w:val="clear" w:color="FFFFFF" w:fill="D9D9D9"/>
        </w:rPr>
      </w:pPr>
      <w:r>
        <w:rPr>
          <w:rFonts w:hint="eastAsia"/>
          <w:color w:val="auto"/>
          <w:shd w:val="clear" w:color="FFFFFF" w:fill="D9D9D9"/>
        </w:rPr>
        <w:t>（5）为本询比项目的代建人；</w:t>
      </w:r>
    </w:p>
    <w:p w14:paraId="6972EE97">
      <w:pPr>
        <w:ind w:firstLine="420"/>
        <w:rPr>
          <w:color w:val="auto"/>
          <w:shd w:val="clear" w:color="FFFFFF" w:fill="D9D9D9"/>
        </w:rPr>
      </w:pPr>
      <w:r>
        <w:rPr>
          <w:rFonts w:hint="eastAsia"/>
          <w:color w:val="auto"/>
          <w:shd w:val="clear" w:color="FFFFFF" w:fill="D9D9D9"/>
        </w:rPr>
        <w:t>（6）为本询比项目的代理机构；</w:t>
      </w:r>
    </w:p>
    <w:p w14:paraId="540C7D89">
      <w:pPr>
        <w:ind w:firstLine="420"/>
        <w:rPr>
          <w:color w:val="auto"/>
          <w:shd w:val="clear" w:color="FFFFFF" w:fill="D9D9D9"/>
        </w:rPr>
      </w:pPr>
      <w:r>
        <w:rPr>
          <w:rFonts w:hint="eastAsia"/>
          <w:color w:val="auto"/>
          <w:shd w:val="clear" w:color="FFFFFF" w:fill="D9D9D9"/>
        </w:rPr>
        <w:t>（7）与本询比项目的代建人或代理机构同为一个法定代表人；</w:t>
      </w:r>
    </w:p>
    <w:p w14:paraId="25FBDAD4">
      <w:pPr>
        <w:ind w:firstLine="420"/>
        <w:rPr>
          <w:color w:val="auto"/>
          <w:shd w:val="clear" w:color="FFFFFF" w:fill="D9D9D9"/>
        </w:rPr>
      </w:pPr>
      <w:r>
        <w:rPr>
          <w:rFonts w:hint="eastAsia"/>
          <w:color w:val="auto"/>
          <w:shd w:val="clear" w:color="FFFFFF" w:fill="D9D9D9"/>
        </w:rPr>
        <w:t>（8）与本询比项目的代建人或代理机构存在控股或参股关系；</w:t>
      </w:r>
    </w:p>
    <w:p w14:paraId="69694307">
      <w:pPr>
        <w:ind w:firstLine="420"/>
        <w:rPr>
          <w:color w:val="auto"/>
          <w:shd w:val="clear" w:color="FFFFFF" w:fill="D9D9D9"/>
        </w:rPr>
      </w:pPr>
      <w:r>
        <w:rPr>
          <w:rFonts w:hint="eastAsia"/>
          <w:color w:val="auto"/>
          <w:shd w:val="clear" w:color="FFFFFF" w:fill="D9D9D9"/>
        </w:rPr>
        <w:t>（9）被依法暂停或者取消投标资格；</w:t>
      </w:r>
    </w:p>
    <w:p w14:paraId="5AF0520A">
      <w:pPr>
        <w:ind w:firstLine="420"/>
        <w:rPr>
          <w:color w:val="auto"/>
          <w:shd w:val="clear" w:color="FFFFFF" w:fill="D9D9D9"/>
        </w:rPr>
      </w:pPr>
      <w:r>
        <w:rPr>
          <w:rFonts w:hint="eastAsia"/>
          <w:color w:val="auto"/>
          <w:shd w:val="clear" w:color="FFFFFF" w:fill="D9D9D9"/>
        </w:rPr>
        <w:t>（10）被责令停产停业、暂扣或者吊销许可证、暂扣或者吊销执照；</w:t>
      </w:r>
    </w:p>
    <w:p w14:paraId="71A6C03D">
      <w:pPr>
        <w:ind w:firstLine="420"/>
        <w:rPr>
          <w:color w:val="auto"/>
          <w:shd w:val="clear" w:color="FFFFFF" w:fill="D9D9D9"/>
        </w:rPr>
      </w:pPr>
      <w:r>
        <w:rPr>
          <w:rFonts w:hint="eastAsia"/>
          <w:color w:val="auto"/>
          <w:shd w:val="clear" w:color="FFFFFF" w:fill="D9D9D9"/>
        </w:rPr>
        <w:t>（11）进入清算程序，或被宣告破产，或其他丧失履约能力的情形；</w:t>
      </w:r>
    </w:p>
    <w:p w14:paraId="25B88C5F">
      <w:pPr>
        <w:ind w:firstLine="420"/>
        <w:rPr>
          <w:color w:val="auto"/>
          <w:shd w:val="clear" w:color="FFFFFF" w:fill="D9D9D9"/>
        </w:rPr>
      </w:pPr>
      <w:r>
        <w:rPr>
          <w:rFonts w:hint="eastAsia"/>
          <w:color w:val="auto"/>
          <w:shd w:val="clear" w:color="FFFFFF" w:fill="D9D9D9"/>
        </w:rPr>
        <w:t>（12）在最近三年内发生重大质量问题（以相关行业主管部门的行政处罚决定或司法机关出具的有关法律文书为准）；</w:t>
      </w:r>
    </w:p>
    <w:p w14:paraId="695050E9">
      <w:pPr>
        <w:ind w:firstLine="420"/>
        <w:rPr>
          <w:color w:val="auto"/>
          <w:shd w:val="clear" w:color="FFFFFF" w:fill="D9D9D9"/>
        </w:rPr>
      </w:pPr>
      <w:r>
        <w:rPr>
          <w:rFonts w:hint="eastAsia"/>
          <w:color w:val="auto"/>
          <w:shd w:val="clear" w:color="FFFFFF" w:fill="D9D9D9"/>
        </w:rPr>
        <w:t>（13）被市场监督管理机关在国家企业信用信息公示系统中列入严重违法失信企业名单；</w:t>
      </w:r>
    </w:p>
    <w:p w14:paraId="72825232">
      <w:pPr>
        <w:ind w:firstLine="420"/>
        <w:rPr>
          <w:color w:val="auto"/>
          <w:shd w:val="clear" w:color="FFFFFF" w:fill="D9D9D9"/>
        </w:rPr>
      </w:pPr>
      <w:r>
        <w:rPr>
          <w:rFonts w:hint="eastAsia"/>
          <w:color w:val="auto"/>
          <w:shd w:val="clear" w:color="FFFFFF" w:fill="D9D9D9"/>
        </w:rPr>
        <w:t>（14）被最高人民法院在“信用中国”网站或各级信用信息共享平台中列入失信被执行人名单；</w:t>
      </w:r>
    </w:p>
    <w:p w14:paraId="14F3ED9D">
      <w:pPr>
        <w:ind w:firstLine="420"/>
        <w:rPr>
          <w:color w:val="auto"/>
          <w:shd w:val="clear" w:color="FFFFFF" w:fill="D9D9D9"/>
        </w:rPr>
      </w:pPr>
      <w:r>
        <w:rPr>
          <w:rFonts w:hint="eastAsia"/>
          <w:color w:val="auto"/>
          <w:shd w:val="clear" w:color="FFFFFF" w:fill="D9D9D9"/>
        </w:rPr>
        <w:t>（15）在近三年内响应人或其法定代表人、拟委任的项目负责人有行贿犯罪行为的；</w:t>
      </w:r>
    </w:p>
    <w:p w14:paraId="3333D174">
      <w:pPr>
        <w:ind w:firstLine="420"/>
        <w:rPr>
          <w:color w:val="auto"/>
          <w:shd w:val="clear" w:color="FFFFFF" w:fill="D9D9D9"/>
        </w:rPr>
      </w:pPr>
      <w:r>
        <w:rPr>
          <w:rFonts w:hint="eastAsia"/>
          <w:color w:val="auto"/>
          <w:shd w:val="clear" w:color="FFFFFF" w:fill="D9D9D9"/>
        </w:rPr>
        <w:t>（16）法律法规或响应人须知前附表规定的其他情形。</w:t>
      </w:r>
    </w:p>
    <w:p w14:paraId="1A0F0902">
      <w:pPr>
        <w:pStyle w:val="4"/>
        <w:ind w:firstLine="422"/>
        <w:rPr>
          <w:color w:val="auto"/>
          <w:shd w:val="clear" w:color="FFFFFF" w:fill="D9D9D9"/>
        </w:rPr>
      </w:pPr>
      <w:bookmarkStart w:id="255" w:name="_bookmark26"/>
      <w:bookmarkEnd w:id="255"/>
      <w:bookmarkStart w:id="256" w:name="_Toc28586"/>
      <w:bookmarkStart w:id="257" w:name="_Toc28286"/>
      <w:bookmarkStart w:id="258" w:name="_Toc10542"/>
      <w:bookmarkStart w:id="259" w:name="_Toc26913"/>
      <w:bookmarkStart w:id="260" w:name="_Toc24803"/>
      <w:bookmarkStart w:id="261" w:name="_Toc28085"/>
      <w:r>
        <w:rPr>
          <w:rFonts w:hint="eastAsia"/>
          <w:color w:val="auto"/>
          <w:shd w:val="clear" w:color="FFFFFF" w:fill="D9D9D9"/>
        </w:rPr>
        <w:t>1.5 费用承担</w:t>
      </w:r>
      <w:bookmarkEnd w:id="256"/>
      <w:bookmarkEnd w:id="257"/>
      <w:bookmarkEnd w:id="258"/>
      <w:bookmarkEnd w:id="259"/>
      <w:bookmarkEnd w:id="260"/>
      <w:bookmarkEnd w:id="261"/>
    </w:p>
    <w:p w14:paraId="36E4AF1E">
      <w:pPr>
        <w:ind w:firstLine="420"/>
        <w:rPr>
          <w:color w:val="auto"/>
          <w:shd w:val="clear" w:color="FFFFFF" w:fill="D9D9D9"/>
        </w:rPr>
      </w:pPr>
      <w:bookmarkStart w:id="262" w:name="_bookmark27"/>
      <w:bookmarkEnd w:id="262"/>
      <w:r>
        <w:rPr>
          <w:rFonts w:hint="eastAsia"/>
          <w:color w:val="auto"/>
          <w:shd w:val="clear" w:color="FFFFFF" w:fill="D9D9D9"/>
        </w:rPr>
        <w:t>响应人准备和参加响应活动发生的费用自理。</w:t>
      </w:r>
    </w:p>
    <w:p w14:paraId="08C71D66">
      <w:pPr>
        <w:pStyle w:val="4"/>
        <w:ind w:firstLine="422"/>
        <w:rPr>
          <w:color w:val="auto"/>
          <w:shd w:val="clear" w:color="FFFFFF" w:fill="D9D9D9"/>
        </w:rPr>
      </w:pPr>
      <w:bookmarkStart w:id="263" w:name="_Toc21276"/>
      <w:bookmarkStart w:id="264" w:name="_Toc17172"/>
      <w:bookmarkStart w:id="265" w:name="_Toc32680"/>
      <w:bookmarkStart w:id="266" w:name="_Toc19013"/>
      <w:bookmarkStart w:id="267" w:name="_Toc15528"/>
      <w:bookmarkStart w:id="268" w:name="_Toc31768"/>
      <w:r>
        <w:rPr>
          <w:rFonts w:hint="eastAsia"/>
          <w:color w:val="auto"/>
          <w:shd w:val="clear" w:color="FFFFFF" w:fill="D9D9D9"/>
        </w:rPr>
        <w:t>1.6 保密</w:t>
      </w:r>
      <w:bookmarkEnd w:id="263"/>
      <w:bookmarkEnd w:id="264"/>
      <w:bookmarkEnd w:id="265"/>
      <w:bookmarkEnd w:id="266"/>
      <w:bookmarkEnd w:id="267"/>
      <w:bookmarkEnd w:id="268"/>
    </w:p>
    <w:p w14:paraId="225B46F9">
      <w:pPr>
        <w:ind w:firstLine="420"/>
        <w:rPr>
          <w:color w:val="auto"/>
          <w:shd w:val="clear" w:color="FFFFFF" w:fill="D9D9D9"/>
        </w:rPr>
      </w:pPr>
      <w:r>
        <w:rPr>
          <w:rFonts w:hint="eastAsia"/>
          <w:color w:val="auto"/>
          <w:shd w:val="clear" w:color="FFFFFF" w:fill="D9D9D9"/>
        </w:rPr>
        <w:t>参与项目的各方应对询比文件和响应文件中的商业和技术等秘密保密，否则应承</w:t>
      </w:r>
      <w:bookmarkStart w:id="269" w:name="_bookmark28"/>
      <w:bookmarkEnd w:id="269"/>
      <w:r>
        <w:rPr>
          <w:rFonts w:hint="eastAsia"/>
          <w:color w:val="auto"/>
          <w:shd w:val="clear" w:color="FFFFFF" w:fill="D9D9D9"/>
        </w:rPr>
        <w:t>担相应的法律责任。</w:t>
      </w:r>
    </w:p>
    <w:p w14:paraId="45AD78BC">
      <w:pPr>
        <w:pStyle w:val="4"/>
        <w:ind w:firstLine="422"/>
        <w:rPr>
          <w:color w:val="auto"/>
          <w:shd w:val="clear" w:color="FFFFFF" w:fill="D9D9D9"/>
        </w:rPr>
      </w:pPr>
      <w:bookmarkStart w:id="270" w:name="_Toc24195"/>
      <w:bookmarkStart w:id="271" w:name="_Toc8653"/>
      <w:bookmarkStart w:id="272" w:name="_Toc32054"/>
      <w:bookmarkStart w:id="273" w:name="_Toc18173"/>
      <w:bookmarkStart w:id="274" w:name="_Toc12542"/>
      <w:bookmarkStart w:id="275" w:name="_Toc4894"/>
      <w:r>
        <w:rPr>
          <w:rFonts w:hint="eastAsia"/>
          <w:color w:val="auto"/>
          <w:shd w:val="clear" w:color="FFFFFF" w:fill="D9D9D9"/>
        </w:rPr>
        <w:t>1.7 语言文字</w:t>
      </w:r>
      <w:bookmarkEnd w:id="270"/>
      <w:bookmarkEnd w:id="271"/>
      <w:bookmarkEnd w:id="272"/>
      <w:bookmarkEnd w:id="273"/>
      <w:bookmarkEnd w:id="274"/>
      <w:bookmarkEnd w:id="275"/>
    </w:p>
    <w:p w14:paraId="13AD31FE">
      <w:pPr>
        <w:ind w:firstLine="420"/>
        <w:rPr>
          <w:color w:val="auto"/>
          <w:shd w:val="clear" w:color="FFFFFF" w:fill="D9D9D9"/>
        </w:rPr>
      </w:pPr>
      <w:r>
        <w:rPr>
          <w:rFonts w:hint="eastAsia"/>
          <w:color w:val="auto"/>
          <w:shd w:val="clear" w:color="FFFFFF" w:fill="D9D9D9"/>
        </w:rPr>
        <w:t>询比文件、响应文件使用的语言文字为中文。专用术语使用外文的，应附有中文注释。</w:t>
      </w:r>
    </w:p>
    <w:p w14:paraId="6FEA30AA">
      <w:pPr>
        <w:pStyle w:val="4"/>
        <w:ind w:firstLine="422"/>
        <w:rPr>
          <w:color w:val="auto"/>
          <w:shd w:val="clear" w:color="FFFFFF" w:fill="D9D9D9"/>
        </w:rPr>
      </w:pPr>
      <w:bookmarkStart w:id="276" w:name="_bookmark29"/>
      <w:bookmarkEnd w:id="276"/>
      <w:bookmarkStart w:id="277" w:name="_Toc10149"/>
      <w:bookmarkStart w:id="278" w:name="_Toc21759"/>
      <w:bookmarkStart w:id="279" w:name="_Toc24683"/>
      <w:bookmarkStart w:id="280" w:name="_Toc10236"/>
      <w:bookmarkStart w:id="281" w:name="_Toc13448"/>
      <w:bookmarkStart w:id="282" w:name="_Toc6369"/>
      <w:r>
        <w:rPr>
          <w:rFonts w:hint="eastAsia"/>
          <w:color w:val="auto"/>
          <w:shd w:val="clear" w:color="FFFFFF" w:fill="D9D9D9"/>
        </w:rPr>
        <w:t>1.8 计量单位</w:t>
      </w:r>
      <w:bookmarkEnd w:id="277"/>
      <w:bookmarkEnd w:id="278"/>
      <w:bookmarkEnd w:id="279"/>
      <w:bookmarkEnd w:id="280"/>
      <w:bookmarkEnd w:id="281"/>
      <w:bookmarkEnd w:id="282"/>
    </w:p>
    <w:p w14:paraId="0E85B460">
      <w:pPr>
        <w:ind w:firstLine="420"/>
        <w:rPr>
          <w:color w:val="auto"/>
          <w:shd w:val="clear" w:color="FFFFFF" w:fill="D9D9D9"/>
        </w:rPr>
      </w:pPr>
      <w:bookmarkStart w:id="283" w:name="_bookmark30"/>
      <w:bookmarkEnd w:id="283"/>
      <w:r>
        <w:rPr>
          <w:rFonts w:hint="eastAsia"/>
          <w:color w:val="auto"/>
          <w:shd w:val="clear" w:color="FFFFFF" w:fill="D9D9D9"/>
        </w:rPr>
        <w:t>所有计量均采用中华人民共和国法定计量单位。</w:t>
      </w:r>
    </w:p>
    <w:p w14:paraId="0496598B">
      <w:pPr>
        <w:pStyle w:val="4"/>
        <w:ind w:firstLine="422"/>
        <w:rPr>
          <w:color w:val="auto"/>
          <w:shd w:val="clear" w:color="FFFFFF" w:fill="D9D9D9"/>
        </w:rPr>
      </w:pPr>
      <w:bookmarkStart w:id="284" w:name="_Toc5345"/>
      <w:bookmarkStart w:id="285" w:name="_Toc29029"/>
      <w:bookmarkStart w:id="286" w:name="_Toc29191"/>
      <w:bookmarkStart w:id="287" w:name="_Toc23139"/>
      <w:bookmarkStart w:id="288" w:name="_Toc21244"/>
      <w:bookmarkStart w:id="289" w:name="_Toc21008"/>
      <w:r>
        <w:rPr>
          <w:rFonts w:hint="eastAsia"/>
          <w:color w:val="auto"/>
          <w:shd w:val="clear" w:color="FFFFFF" w:fill="D9D9D9"/>
        </w:rPr>
        <w:t>1.9 踏勘现场</w:t>
      </w:r>
      <w:bookmarkEnd w:id="284"/>
      <w:bookmarkEnd w:id="285"/>
      <w:bookmarkEnd w:id="286"/>
      <w:bookmarkEnd w:id="287"/>
      <w:bookmarkEnd w:id="288"/>
      <w:bookmarkEnd w:id="289"/>
    </w:p>
    <w:p w14:paraId="1A5C0288">
      <w:pPr>
        <w:ind w:firstLine="420"/>
        <w:rPr>
          <w:color w:val="auto"/>
          <w:shd w:val="clear" w:color="FFFFFF" w:fill="D9D9D9"/>
        </w:rPr>
      </w:pPr>
      <w:r>
        <w:rPr>
          <w:rFonts w:hint="eastAsia"/>
          <w:color w:val="auto"/>
          <w:shd w:val="clear" w:color="FFFFFF" w:fill="D9D9D9"/>
        </w:rPr>
        <w:t xml:space="preserve">1.9.1 响应人须知前附表规定组织踏勘现场的，采购人按响应人须知前附表规定的时间、地点组织响应人踏勘项目现场。 </w:t>
      </w:r>
    </w:p>
    <w:p w14:paraId="35F034A7">
      <w:pPr>
        <w:ind w:firstLine="420"/>
        <w:rPr>
          <w:color w:val="auto"/>
          <w:shd w:val="clear" w:color="FFFFFF" w:fill="D9D9D9"/>
        </w:rPr>
      </w:pPr>
      <w:r>
        <w:rPr>
          <w:rFonts w:hint="eastAsia"/>
          <w:color w:val="auto"/>
          <w:shd w:val="clear" w:color="FFFFFF" w:fill="D9D9D9"/>
        </w:rPr>
        <w:t>1.9.2 响应人踏勘现场发生的费用自理。</w:t>
      </w:r>
    </w:p>
    <w:p w14:paraId="368DA62C">
      <w:pPr>
        <w:ind w:firstLine="420"/>
        <w:rPr>
          <w:color w:val="auto"/>
          <w:shd w:val="clear" w:color="FFFFFF" w:fill="D9D9D9"/>
        </w:rPr>
      </w:pPr>
      <w:r>
        <w:rPr>
          <w:rFonts w:hint="eastAsia"/>
          <w:color w:val="auto"/>
          <w:shd w:val="clear" w:color="FFFFFF" w:fill="D9D9D9"/>
        </w:rPr>
        <w:t>1.9.3 除采购人的原因外，响应人自行负责在踏勘现场中所发生的人员伤亡和财产损失。</w:t>
      </w:r>
    </w:p>
    <w:p w14:paraId="569837AD">
      <w:pPr>
        <w:ind w:firstLine="420"/>
        <w:rPr>
          <w:color w:val="auto"/>
          <w:shd w:val="clear" w:color="FFFFFF" w:fill="D9D9D9"/>
        </w:rPr>
      </w:pPr>
      <w:r>
        <w:rPr>
          <w:rFonts w:hint="eastAsia"/>
          <w:color w:val="auto"/>
          <w:shd w:val="clear" w:color="FFFFFF" w:fill="D9D9D9"/>
        </w:rPr>
        <w:t>1.9.4 采购人在踏勘现场中介绍的场地和相关的周边环境情况，供响应人在编制响应文件时参考，采购人不对响应人据此作出的判断和决策负责。</w:t>
      </w:r>
    </w:p>
    <w:p w14:paraId="460D3E9E">
      <w:pPr>
        <w:pStyle w:val="4"/>
        <w:ind w:firstLine="422"/>
        <w:rPr>
          <w:color w:val="auto"/>
          <w:shd w:val="clear" w:color="FFFFFF" w:fill="D9D9D9"/>
        </w:rPr>
      </w:pPr>
      <w:bookmarkStart w:id="290" w:name="_bookmark31"/>
      <w:bookmarkEnd w:id="290"/>
      <w:bookmarkStart w:id="291" w:name="_Toc14937"/>
      <w:bookmarkStart w:id="292" w:name="_Toc11094"/>
      <w:bookmarkStart w:id="293" w:name="_Toc18607"/>
      <w:bookmarkStart w:id="294" w:name="_Toc24328"/>
      <w:bookmarkStart w:id="295" w:name="_Toc19967"/>
      <w:bookmarkStart w:id="296" w:name="_Toc14791"/>
      <w:r>
        <w:rPr>
          <w:rFonts w:hint="eastAsia"/>
          <w:color w:val="auto"/>
          <w:shd w:val="clear" w:color="FFFFFF" w:fill="D9D9D9"/>
        </w:rPr>
        <w:t>1.10 分包</w:t>
      </w:r>
      <w:bookmarkEnd w:id="291"/>
      <w:bookmarkEnd w:id="292"/>
      <w:bookmarkEnd w:id="293"/>
      <w:bookmarkEnd w:id="294"/>
      <w:bookmarkEnd w:id="295"/>
      <w:bookmarkEnd w:id="296"/>
    </w:p>
    <w:p w14:paraId="27895E57">
      <w:pPr>
        <w:ind w:firstLine="420"/>
        <w:rPr>
          <w:color w:val="auto"/>
          <w:shd w:val="clear" w:color="FFFFFF" w:fill="D9D9D9"/>
        </w:rPr>
      </w:pPr>
      <w:r>
        <w:rPr>
          <w:rFonts w:hint="eastAsia"/>
          <w:color w:val="auto"/>
          <w:shd w:val="clear" w:color="FFFFFF" w:fill="D9D9D9"/>
        </w:rPr>
        <w:t>响应人拟在成交后将成交项目的部分非主体、非关键性工作进行分包的，应符合响应人须知前附表规定的分包内容、分包金额和接受分包的第三人资质条件等限制性条件。</w:t>
      </w:r>
    </w:p>
    <w:p w14:paraId="48F0ACA4">
      <w:pPr>
        <w:pStyle w:val="4"/>
        <w:ind w:firstLine="422"/>
        <w:rPr>
          <w:color w:val="auto"/>
          <w:shd w:val="clear" w:color="FFFFFF" w:fill="D9D9D9"/>
        </w:rPr>
      </w:pPr>
      <w:bookmarkStart w:id="297" w:name="_Toc28351"/>
      <w:bookmarkStart w:id="298" w:name="_Toc10099"/>
      <w:bookmarkStart w:id="299" w:name="_Toc30307"/>
      <w:bookmarkStart w:id="300" w:name="_Toc14732"/>
      <w:bookmarkStart w:id="301" w:name="_Toc8742"/>
      <w:bookmarkStart w:id="302" w:name="_Toc27618"/>
      <w:r>
        <w:rPr>
          <w:rFonts w:hint="eastAsia"/>
          <w:color w:val="auto"/>
          <w:shd w:val="clear" w:color="FFFFFF" w:fill="D9D9D9"/>
        </w:rPr>
        <w:t>1.11 偏离</w:t>
      </w:r>
      <w:bookmarkEnd w:id="297"/>
      <w:bookmarkEnd w:id="298"/>
      <w:bookmarkEnd w:id="299"/>
      <w:bookmarkEnd w:id="300"/>
      <w:bookmarkEnd w:id="301"/>
      <w:bookmarkEnd w:id="302"/>
    </w:p>
    <w:p w14:paraId="19E7CB48">
      <w:pPr>
        <w:ind w:firstLine="420"/>
        <w:rPr>
          <w:color w:val="auto"/>
          <w:shd w:val="clear" w:color="FFFFFF" w:fill="D9D9D9"/>
        </w:rPr>
      </w:pPr>
      <w:r>
        <w:rPr>
          <w:rFonts w:hint="eastAsia"/>
          <w:color w:val="auto"/>
          <w:shd w:val="clear" w:color="FFFFFF" w:fill="D9D9D9"/>
        </w:rPr>
        <w:t>响应人须知前附表允许响应文件偏离询比文件某些要求的，偏离应当符合询比文件规定 的偏离范围和幅度。</w:t>
      </w:r>
    </w:p>
    <w:p w14:paraId="7F3C2037">
      <w:pPr>
        <w:pStyle w:val="3"/>
        <w:rPr>
          <w:color w:val="auto"/>
          <w:shd w:val="clear" w:color="FFFFFF" w:fill="D9D9D9"/>
        </w:rPr>
      </w:pPr>
      <w:bookmarkStart w:id="303" w:name="_bookmark34"/>
      <w:bookmarkEnd w:id="303"/>
      <w:bookmarkStart w:id="304" w:name="_bookmark33"/>
      <w:bookmarkEnd w:id="304"/>
      <w:bookmarkStart w:id="305" w:name="_Toc26703"/>
      <w:bookmarkStart w:id="306" w:name="_Toc15158"/>
      <w:bookmarkStart w:id="307" w:name="_Toc16306"/>
      <w:bookmarkStart w:id="308" w:name="_Toc1170"/>
      <w:bookmarkStart w:id="309" w:name="_Toc15424"/>
      <w:bookmarkStart w:id="310" w:name="_Toc24687"/>
      <w:bookmarkStart w:id="311" w:name="_Toc32329"/>
      <w:bookmarkStart w:id="312" w:name="_Toc21783"/>
      <w:bookmarkStart w:id="313" w:name="_Toc11546"/>
      <w:bookmarkStart w:id="314" w:name="_Toc8915"/>
      <w:bookmarkStart w:id="315" w:name="_Toc20022"/>
      <w:r>
        <w:rPr>
          <w:color w:val="auto"/>
          <w:shd w:val="clear" w:color="FFFFFF" w:fill="D9D9D9"/>
        </w:rPr>
        <w:t>2.</w:t>
      </w:r>
      <w:r>
        <w:rPr>
          <w:rFonts w:hint="eastAsia"/>
          <w:color w:val="auto"/>
          <w:shd w:val="clear" w:color="FFFFFF" w:fill="D9D9D9"/>
        </w:rPr>
        <w:t xml:space="preserve"> </w:t>
      </w:r>
      <w:bookmarkEnd w:id="305"/>
      <w:bookmarkEnd w:id="306"/>
      <w:bookmarkEnd w:id="307"/>
      <w:bookmarkEnd w:id="308"/>
      <w:bookmarkEnd w:id="309"/>
      <w:bookmarkEnd w:id="310"/>
      <w:bookmarkEnd w:id="311"/>
      <w:bookmarkEnd w:id="312"/>
      <w:bookmarkEnd w:id="313"/>
      <w:bookmarkEnd w:id="314"/>
      <w:bookmarkEnd w:id="315"/>
      <w:r>
        <w:rPr>
          <w:rFonts w:hint="eastAsia"/>
          <w:color w:val="auto"/>
          <w:shd w:val="clear" w:color="FFFFFF" w:fill="D9D9D9"/>
        </w:rPr>
        <w:t>询比文件</w:t>
      </w:r>
    </w:p>
    <w:p w14:paraId="51A16E68">
      <w:pPr>
        <w:pStyle w:val="4"/>
        <w:ind w:firstLine="422"/>
        <w:rPr>
          <w:color w:val="auto"/>
          <w:shd w:val="clear" w:color="FFFFFF" w:fill="D9D9D9"/>
        </w:rPr>
      </w:pPr>
      <w:bookmarkStart w:id="316" w:name="_Toc9284"/>
      <w:bookmarkStart w:id="317" w:name="_Toc27576"/>
      <w:bookmarkStart w:id="318" w:name="_Toc23918"/>
      <w:bookmarkStart w:id="319" w:name="_Toc4536"/>
      <w:bookmarkStart w:id="320" w:name="_Toc27175"/>
      <w:bookmarkStart w:id="321" w:name="_Toc11650"/>
      <w:r>
        <w:rPr>
          <w:rFonts w:hint="eastAsia"/>
          <w:color w:val="auto"/>
          <w:shd w:val="clear" w:color="FFFFFF" w:fill="D9D9D9"/>
        </w:rPr>
        <w:t>2.1 询比文件的组成</w:t>
      </w:r>
      <w:bookmarkEnd w:id="316"/>
      <w:bookmarkEnd w:id="317"/>
      <w:bookmarkEnd w:id="318"/>
      <w:bookmarkEnd w:id="319"/>
      <w:bookmarkEnd w:id="320"/>
      <w:bookmarkEnd w:id="321"/>
    </w:p>
    <w:p w14:paraId="5836195A">
      <w:pPr>
        <w:ind w:firstLine="420"/>
        <w:rPr>
          <w:color w:val="auto"/>
          <w:shd w:val="clear" w:color="FFFFFF" w:fill="D9D9D9"/>
        </w:rPr>
      </w:pPr>
      <w:r>
        <w:rPr>
          <w:rFonts w:hint="eastAsia"/>
          <w:color w:val="auto"/>
          <w:shd w:val="clear" w:color="FFFFFF" w:fill="D9D9D9"/>
        </w:rPr>
        <w:t>本询比文件包括：</w:t>
      </w:r>
    </w:p>
    <w:p w14:paraId="18FCCF32">
      <w:pPr>
        <w:ind w:firstLine="420"/>
        <w:rPr>
          <w:color w:val="auto"/>
          <w:shd w:val="clear" w:color="FFFFFF" w:fill="D9D9D9"/>
        </w:rPr>
      </w:pPr>
      <w:r>
        <w:rPr>
          <w:rFonts w:hint="eastAsia"/>
          <w:color w:val="auto"/>
          <w:shd w:val="clear" w:color="FFFFFF" w:fill="D9D9D9"/>
        </w:rPr>
        <w:t>（1）询比公告/询比邀请函；</w:t>
      </w:r>
    </w:p>
    <w:p w14:paraId="22042ECE">
      <w:pPr>
        <w:ind w:firstLine="420"/>
        <w:rPr>
          <w:color w:val="auto"/>
          <w:shd w:val="clear" w:color="FFFFFF" w:fill="D9D9D9"/>
        </w:rPr>
      </w:pPr>
      <w:r>
        <w:rPr>
          <w:rFonts w:hint="eastAsia"/>
          <w:color w:val="auto"/>
          <w:shd w:val="clear" w:color="FFFFFF" w:fill="D9D9D9"/>
        </w:rPr>
        <w:t>（2）响应人须知；</w:t>
      </w:r>
    </w:p>
    <w:p w14:paraId="4729CD73">
      <w:pPr>
        <w:ind w:firstLine="420"/>
        <w:rPr>
          <w:color w:val="auto"/>
          <w:shd w:val="clear" w:color="FFFFFF" w:fill="D9D9D9"/>
        </w:rPr>
      </w:pPr>
      <w:r>
        <w:rPr>
          <w:rFonts w:hint="eastAsia"/>
          <w:color w:val="auto"/>
          <w:shd w:val="clear" w:color="FFFFFF" w:fill="D9D9D9"/>
        </w:rPr>
        <w:t>（3）评审办法；</w:t>
      </w:r>
    </w:p>
    <w:p w14:paraId="30FE0422">
      <w:pPr>
        <w:ind w:firstLine="420"/>
        <w:rPr>
          <w:color w:val="auto"/>
          <w:shd w:val="clear" w:color="FFFFFF" w:fill="D9D9D9"/>
        </w:rPr>
      </w:pPr>
      <w:r>
        <w:rPr>
          <w:rFonts w:hint="eastAsia"/>
          <w:color w:val="auto"/>
          <w:shd w:val="clear" w:color="FFFFFF" w:fill="D9D9D9"/>
        </w:rPr>
        <w:t>（4）合同条款及格式；</w:t>
      </w:r>
    </w:p>
    <w:p w14:paraId="54BF3359">
      <w:pPr>
        <w:ind w:firstLine="420"/>
        <w:rPr>
          <w:color w:val="auto"/>
          <w:shd w:val="clear" w:color="FFFFFF" w:fill="D9D9D9"/>
        </w:rPr>
      </w:pPr>
      <w:r>
        <w:rPr>
          <w:rFonts w:hint="eastAsia"/>
          <w:color w:val="auto"/>
          <w:shd w:val="clear" w:color="FFFFFF" w:fill="D9D9D9"/>
        </w:rPr>
        <w:t>（5）项目要求；</w:t>
      </w:r>
    </w:p>
    <w:p w14:paraId="44B5409A">
      <w:pPr>
        <w:ind w:firstLine="420"/>
        <w:rPr>
          <w:color w:val="auto"/>
          <w:shd w:val="clear" w:color="FFFFFF" w:fill="D9D9D9"/>
        </w:rPr>
      </w:pPr>
      <w:r>
        <w:rPr>
          <w:rFonts w:hint="eastAsia"/>
          <w:color w:val="auto"/>
          <w:shd w:val="clear" w:color="FFFFFF" w:fill="D9D9D9"/>
        </w:rPr>
        <w:t>（6）响应文件格式；</w:t>
      </w:r>
    </w:p>
    <w:p w14:paraId="0E9E1489">
      <w:pPr>
        <w:ind w:firstLine="420"/>
        <w:rPr>
          <w:color w:val="auto"/>
          <w:shd w:val="clear" w:color="FFFFFF" w:fill="D9D9D9"/>
        </w:rPr>
      </w:pPr>
      <w:r>
        <w:rPr>
          <w:rFonts w:hint="eastAsia"/>
          <w:color w:val="auto"/>
          <w:shd w:val="clear" w:color="FFFFFF" w:fill="D9D9D9"/>
        </w:rPr>
        <w:t>（7）响应人须知前附表规定的其他材料。</w:t>
      </w:r>
    </w:p>
    <w:p w14:paraId="50B11E0B">
      <w:pPr>
        <w:ind w:firstLine="420"/>
        <w:rPr>
          <w:color w:val="auto"/>
          <w:shd w:val="clear" w:color="FFFFFF" w:fill="D9D9D9"/>
        </w:rPr>
      </w:pPr>
      <w:r>
        <w:rPr>
          <w:rFonts w:hint="eastAsia"/>
          <w:color w:val="auto"/>
          <w:shd w:val="clear" w:color="FFFFFF" w:fill="D9D9D9"/>
        </w:rPr>
        <w:t>根据本章第 2.2 项和第 2.3 项对询比文件所作的澄清、修改，构成询比文件的组</w:t>
      </w:r>
      <w:bookmarkStart w:id="322" w:name="_bookmark35"/>
      <w:bookmarkEnd w:id="322"/>
      <w:r>
        <w:rPr>
          <w:rFonts w:hint="eastAsia"/>
          <w:color w:val="auto"/>
          <w:shd w:val="clear" w:color="FFFFFF" w:fill="D9D9D9"/>
        </w:rPr>
        <w:t>成部分。</w:t>
      </w:r>
    </w:p>
    <w:p w14:paraId="24A9482D">
      <w:pPr>
        <w:pStyle w:val="4"/>
        <w:ind w:firstLine="422"/>
        <w:rPr>
          <w:color w:val="auto"/>
          <w:shd w:val="clear" w:color="FFFFFF" w:fill="D9D9D9"/>
        </w:rPr>
      </w:pPr>
      <w:bookmarkStart w:id="323" w:name="_Toc1903"/>
      <w:bookmarkStart w:id="324" w:name="_Toc12447"/>
      <w:bookmarkStart w:id="325" w:name="_Toc6713"/>
      <w:bookmarkStart w:id="326" w:name="_Toc6519"/>
      <w:bookmarkStart w:id="327" w:name="_Toc12183"/>
      <w:bookmarkStart w:id="328" w:name="_Toc1065"/>
      <w:r>
        <w:rPr>
          <w:rFonts w:hint="eastAsia"/>
          <w:color w:val="auto"/>
          <w:shd w:val="clear" w:color="FFFFFF" w:fill="D9D9D9"/>
        </w:rPr>
        <w:t>2.2 询比文件的澄清</w:t>
      </w:r>
      <w:bookmarkEnd w:id="323"/>
      <w:bookmarkEnd w:id="324"/>
      <w:bookmarkEnd w:id="325"/>
      <w:bookmarkEnd w:id="326"/>
      <w:bookmarkEnd w:id="327"/>
      <w:bookmarkEnd w:id="328"/>
    </w:p>
    <w:p w14:paraId="3D78B367">
      <w:pPr>
        <w:ind w:firstLine="420"/>
        <w:rPr>
          <w:color w:val="auto"/>
          <w:shd w:val="clear" w:color="FFFFFF" w:fill="D9D9D9"/>
        </w:rPr>
      </w:pPr>
      <w:r>
        <w:rPr>
          <w:rFonts w:hint="eastAsia"/>
          <w:color w:val="auto"/>
          <w:shd w:val="clear" w:color="FFFFFF" w:fill="D9D9D9"/>
        </w:rPr>
        <w:t>2.2.1 响应人</w:t>
      </w:r>
      <w:r>
        <w:rPr>
          <w:color w:val="auto"/>
          <w:shd w:val="clear" w:color="FFFFFF" w:fill="D9D9D9"/>
        </w:rPr>
        <w:t>应仔细阅读</w:t>
      </w:r>
      <w:r>
        <w:rPr>
          <w:rFonts w:hint="eastAsia"/>
          <w:color w:val="auto"/>
          <w:shd w:val="clear" w:color="FFFFFF" w:fill="D9D9D9"/>
        </w:rPr>
        <w:t>询比文件</w:t>
      </w:r>
      <w:r>
        <w:rPr>
          <w:color w:val="auto"/>
          <w:shd w:val="clear" w:color="FFFFFF" w:fill="D9D9D9"/>
        </w:rPr>
        <w:t>及附件的所有内容，如有文字表述不清，图纸尺寸标注不明以及存在错、漏、缺、概念模糊和有可能出现歧义或理解上的偏差的内容等应在规定的时间前在本项目</w:t>
      </w:r>
      <w:r>
        <w:rPr>
          <w:rFonts w:hint="eastAsia"/>
          <w:color w:val="auto"/>
          <w:shd w:val="clear" w:color="FFFFFF" w:fill="D9D9D9"/>
        </w:rPr>
        <w:t>询比公告</w:t>
      </w:r>
      <w:r>
        <w:rPr>
          <w:color w:val="auto"/>
          <w:shd w:val="clear" w:color="FFFFFF" w:fill="D9D9D9"/>
        </w:rPr>
        <w:t>网页下方“我要提问”栏提交。</w:t>
      </w:r>
      <w:r>
        <w:rPr>
          <w:rFonts w:hint="eastAsia"/>
          <w:color w:val="auto"/>
          <w:shd w:val="clear" w:color="FFFFFF" w:fill="D9D9D9"/>
        </w:rPr>
        <w:t>响应人未提出，则视为响应人已全面确认询比文件内容。</w:t>
      </w:r>
    </w:p>
    <w:p w14:paraId="7F86F7A9">
      <w:pPr>
        <w:adjustRightInd w:val="0"/>
        <w:snapToGrid w:val="0"/>
        <w:ind w:firstLine="420"/>
        <w:rPr>
          <w:rFonts w:hint="eastAsia" w:ascii="宋体" w:hAnsi="宋体"/>
          <w:color w:val="auto"/>
          <w:kern w:val="0"/>
          <w:szCs w:val="21"/>
          <w:shd w:val="clear" w:color="FFFFFF" w:fill="D9D9D9"/>
        </w:rPr>
      </w:pPr>
      <w:r>
        <w:rPr>
          <w:rFonts w:hint="eastAsia"/>
          <w:color w:val="auto"/>
          <w:shd w:val="clear" w:color="FFFFFF" w:fill="D9D9D9"/>
        </w:rPr>
        <w:t>2.2.2 询比文件的澄清将在重庆市公共资源交易网发布，但不指明澄清问题的来源</w:t>
      </w:r>
      <w:r>
        <w:rPr>
          <w:rFonts w:hint="eastAsia" w:ascii="宋体" w:hAnsi="宋体"/>
          <w:color w:val="auto"/>
          <w:kern w:val="0"/>
          <w:szCs w:val="21"/>
          <w:shd w:val="clear" w:color="FFFFFF" w:fill="D9D9D9"/>
        </w:rPr>
        <w:t>，无论响应人是否查看，均视为所有潜在响应人清楚知晓澄清全部内容。响应人应在响应截止时间前密切关注澄清发布的相关内容。</w:t>
      </w:r>
    </w:p>
    <w:p w14:paraId="20B55D57">
      <w:pPr>
        <w:adjustRightInd w:val="0"/>
        <w:snapToGrid w:val="0"/>
        <w:ind w:firstLine="420"/>
        <w:rPr>
          <w:rFonts w:hint="eastAsia" w:ascii="宋体" w:hAnsi="宋体"/>
          <w:color w:val="auto"/>
          <w:kern w:val="0"/>
          <w:szCs w:val="21"/>
          <w:shd w:val="clear" w:color="FFFFFF" w:fill="D9D9D9"/>
        </w:rPr>
      </w:pPr>
      <w:r>
        <w:rPr>
          <w:rFonts w:hint="eastAsia" w:ascii="宋体" w:hAnsi="宋体"/>
          <w:color w:val="auto"/>
          <w:kern w:val="0"/>
          <w:szCs w:val="21"/>
          <w:shd w:val="clear" w:color="FFFFFF" w:fill="D9D9D9"/>
        </w:rPr>
        <w:t>2.2.3 采购人在认为有必要对响应人所提问题进行回复或对询比文件进行补充修改时，将在《重庆市公共资源交易网》“答疑补遗”栏上发布澄清修改文件。响应人应下载最新的澄清修改文件，重新制作响应文件并上传。不论响应人下载与否，都视为响应人收到有关本项目在《重庆市公共资源交易网》上发布的所有资料并全部知晓有关询比过程和事宜，由此产生的一切后果由响应人自负。</w:t>
      </w:r>
    </w:p>
    <w:p w14:paraId="35A730DB">
      <w:pPr>
        <w:pStyle w:val="4"/>
        <w:ind w:firstLine="422"/>
        <w:rPr>
          <w:color w:val="auto"/>
          <w:shd w:val="clear" w:color="FFFFFF" w:fill="D9D9D9"/>
        </w:rPr>
      </w:pPr>
      <w:bookmarkStart w:id="329" w:name="_Toc3921"/>
      <w:bookmarkStart w:id="330" w:name="_Toc22382"/>
      <w:bookmarkStart w:id="331" w:name="_Toc6854"/>
      <w:bookmarkStart w:id="332" w:name="_Toc7138"/>
      <w:bookmarkStart w:id="333" w:name="_Toc11267"/>
      <w:bookmarkStart w:id="334" w:name="_Toc217"/>
      <w:r>
        <w:rPr>
          <w:rFonts w:hint="eastAsia"/>
          <w:color w:val="auto"/>
          <w:shd w:val="clear" w:color="FFFFFF" w:fill="D9D9D9"/>
        </w:rPr>
        <w:t>2.3 询比文件的修改</w:t>
      </w:r>
      <w:bookmarkEnd w:id="329"/>
      <w:bookmarkEnd w:id="330"/>
      <w:bookmarkEnd w:id="331"/>
      <w:bookmarkEnd w:id="332"/>
      <w:bookmarkEnd w:id="333"/>
      <w:bookmarkEnd w:id="334"/>
    </w:p>
    <w:p w14:paraId="7816D70B">
      <w:pPr>
        <w:ind w:firstLine="420"/>
        <w:rPr>
          <w:color w:val="auto"/>
          <w:shd w:val="clear" w:color="FFFFFF" w:fill="D9D9D9"/>
        </w:rPr>
      </w:pPr>
      <w:r>
        <w:rPr>
          <w:rFonts w:hint="eastAsia"/>
          <w:color w:val="auto"/>
          <w:shd w:val="clear" w:color="FFFFFF" w:fill="D9D9D9"/>
        </w:rPr>
        <w:t>按照本章第 2.2 项询比文件的澄清相关内容及方式执行。</w:t>
      </w:r>
    </w:p>
    <w:p w14:paraId="41A7A9FD">
      <w:pPr>
        <w:pStyle w:val="4"/>
        <w:ind w:firstLine="422"/>
        <w:rPr>
          <w:color w:val="auto"/>
          <w:shd w:val="clear" w:color="FFFFFF" w:fill="D9D9D9"/>
        </w:rPr>
      </w:pPr>
      <w:bookmarkStart w:id="335" w:name="_Toc23215"/>
      <w:bookmarkStart w:id="336" w:name="_Toc15205"/>
      <w:bookmarkStart w:id="337" w:name="_Toc4158"/>
      <w:bookmarkStart w:id="338" w:name="_Toc22544"/>
      <w:bookmarkStart w:id="339" w:name="_Toc22215"/>
      <w:bookmarkStart w:id="340" w:name="_Toc15057"/>
      <w:r>
        <w:rPr>
          <w:rFonts w:hint="eastAsia"/>
          <w:color w:val="auto"/>
          <w:shd w:val="clear" w:color="FFFFFF" w:fill="D9D9D9"/>
        </w:rPr>
        <w:t>2.4 询比文件的异议</w:t>
      </w:r>
      <w:bookmarkEnd w:id="335"/>
      <w:bookmarkEnd w:id="336"/>
      <w:bookmarkEnd w:id="337"/>
      <w:bookmarkEnd w:id="338"/>
      <w:bookmarkEnd w:id="339"/>
      <w:bookmarkEnd w:id="340"/>
    </w:p>
    <w:p w14:paraId="182846CA">
      <w:pPr>
        <w:ind w:firstLine="420"/>
        <w:rPr>
          <w:color w:val="auto"/>
          <w:shd w:val="clear" w:color="FFFFFF" w:fill="D9D9D9"/>
        </w:rPr>
      </w:pPr>
      <w:r>
        <w:rPr>
          <w:rFonts w:hint="eastAsia"/>
          <w:color w:val="auto"/>
          <w:shd w:val="clear" w:color="FFFFFF" w:fill="D9D9D9"/>
        </w:rPr>
        <w:t>响应人对询比文件和澄清修改文件有异议的，应当在响应截止时间3日前，以书面形式通知采购人。采购人认为有必要对响应人所提异议进行回复时，将以书面形式回复。</w:t>
      </w:r>
    </w:p>
    <w:p w14:paraId="3C4F7A11">
      <w:pPr>
        <w:pStyle w:val="3"/>
        <w:rPr>
          <w:color w:val="auto"/>
          <w:shd w:val="clear" w:color="FFFFFF" w:fill="D9D9D9"/>
        </w:rPr>
      </w:pPr>
      <w:bookmarkStart w:id="341" w:name="_bookmark38"/>
      <w:bookmarkEnd w:id="341"/>
      <w:bookmarkStart w:id="342" w:name="_bookmark39"/>
      <w:bookmarkEnd w:id="342"/>
      <w:bookmarkStart w:id="343" w:name="_Toc24799"/>
      <w:bookmarkStart w:id="344" w:name="_Toc13416"/>
      <w:bookmarkStart w:id="345" w:name="_Toc16733"/>
      <w:bookmarkStart w:id="346" w:name="_Toc19407"/>
      <w:bookmarkStart w:id="347" w:name="_Toc17585"/>
      <w:bookmarkStart w:id="348" w:name="_Toc27894"/>
      <w:bookmarkStart w:id="349" w:name="_Toc13305"/>
      <w:bookmarkStart w:id="350" w:name="_Toc23620"/>
      <w:bookmarkStart w:id="351" w:name="_Toc2009"/>
      <w:bookmarkStart w:id="352" w:name="_Toc30337"/>
      <w:bookmarkStart w:id="353" w:name="_Toc14482"/>
      <w:r>
        <w:rPr>
          <w:color w:val="auto"/>
          <w:shd w:val="clear" w:color="FFFFFF" w:fill="D9D9D9"/>
        </w:rPr>
        <w:t>3.</w:t>
      </w:r>
      <w:r>
        <w:rPr>
          <w:rFonts w:hint="eastAsia"/>
          <w:color w:val="auto"/>
          <w:shd w:val="clear" w:color="FFFFFF" w:fill="D9D9D9"/>
        </w:rPr>
        <w:t xml:space="preserve"> </w:t>
      </w:r>
      <w:bookmarkEnd w:id="343"/>
      <w:bookmarkEnd w:id="344"/>
      <w:bookmarkEnd w:id="345"/>
      <w:bookmarkEnd w:id="346"/>
      <w:bookmarkEnd w:id="347"/>
      <w:bookmarkEnd w:id="348"/>
      <w:bookmarkEnd w:id="349"/>
      <w:bookmarkEnd w:id="350"/>
      <w:bookmarkEnd w:id="351"/>
      <w:bookmarkEnd w:id="352"/>
      <w:bookmarkEnd w:id="353"/>
      <w:r>
        <w:rPr>
          <w:rFonts w:hint="eastAsia"/>
          <w:color w:val="auto"/>
          <w:shd w:val="clear" w:color="FFFFFF" w:fill="D9D9D9"/>
        </w:rPr>
        <w:t>响应文件</w:t>
      </w:r>
    </w:p>
    <w:p w14:paraId="6253FE49">
      <w:pPr>
        <w:pStyle w:val="4"/>
        <w:ind w:firstLine="422"/>
        <w:rPr>
          <w:color w:val="auto"/>
          <w:shd w:val="clear" w:color="FFFFFF" w:fill="D9D9D9"/>
        </w:rPr>
      </w:pPr>
      <w:bookmarkStart w:id="354" w:name="_Toc3159"/>
      <w:bookmarkStart w:id="355" w:name="_Toc3613"/>
      <w:bookmarkStart w:id="356" w:name="_Toc28868"/>
      <w:bookmarkStart w:id="357" w:name="_Toc8146"/>
      <w:bookmarkStart w:id="358" w:name="_Toc30728"/>
      <w:bookmarkStart w:id="359" w:name="_Toc6338"/>
      <w:r>
        <w:rPr>
          <w:rFonts w:hint="eastAsia"/>
          <w:color w:val="auto"/>
          <w:shd w:val="clear" w:color="FFFFFF" w:fill="D9D9D9"/>
        </w:rPr>
        <w:t>3.1 响应文件的组成</w:t>
      </w:r>
      <w:bookmarkEnd w:id="354"/>
      <w:bookmarkEnd w:id="355"/>
      <w:bookmarkEnd w:id="356"/>
      <w:bookmarkEnd w:id="357"/>
      <w:bookmarkEnd w:id="358"/>
      <w:bookmarkEnd w:id="359"/>
    </w:p>
    <w:p w14:paraId="487F8D2B">
      <w:pPr>
        <w:ind w:firstLine="420"/>
        <w:rPr>
          <w:color w:val="auto"/>
          <w:shd w:val="clear" w:color="FFFFFF" w:fill="D9D9D9"/>
        </w:rPr>
      </w:pPr>
      <w:r>
        <w:rPr>
          <w:rFonts w:hint="eastAsia"/>
          <w:color w:val="auto"/>
          <w:shd w:val="clear" w:color="FFFFFF" w:fill="D9D9D9"/>
        </w:rPr>
        <w:t>3.1.1 响应文件应包括下列内容：</w:t>
      </w:r>
    </w:p>
    <w:p w14:paraId="0809573E">
      <w:pPr>
        <w:ind w:firstLine="420"/>
        <w:rPr>
          <w:color w:val="auto"/>
          <w:shd w:val="clear" w:color="FFFFFF" w:fill="D9D9D9"/>
        </w:rPr>
      </w:pPr>
      <w:r>
        <w:rPr>
          <w:rFonts w:hint="eastAsia"/>
          <w:color w:val="auto"/>
          <w:shd w:val="clear" w:color="FFFFFF" w:fill="D9D9D9"/>
        </w:rPr>
        <w:t>详见响应文件格式。</w:t>
      </w:r>
    </w:p>
    <w:p w14:paraId="23161C17">
      <w:pPr>
        <w:pStyle w:val="4"/>
        <w:ind w:firstLine="422"/>
        <w:rPr>
          <w:color w:val="auto"/>
          <w:szCs w:val="20"/>
          <w:shd w:val="clear" w:color="FFFFFF" w:fill="D9D9D9"/>
        </w:rPr>
      </w:pPr>
      <w:bookmarkStart w:id="360" w:name="_Toc6669"/>
      <w:bookmarkStart w:id="361" w:name="_Toc21044"/>
      <w:bookmarkStart w:id="362" w:name="_Toc28457"/>
      <w:bookmarkStart w:id="363" w:name="_Toc2506"/>
      <w:bookmarkStart w:id="364" w:name="_Toc26265"/>
      <w:bookmarkStart w:id="365" w:name="_Toc24424"/>
      <w:r>
        <w:rPr>
          <w:rFonts w:hint="eastAsia"/>
          <w:color w:val="auto"/>
          <w:shd w:val="clear" w:color="FFFFFF" w:fill="D9D9D9"/>
        </w:rPr>
        <w:t xml:space="preserve">3.2 </w:t>
      </w:r>
      <w:bookmarkEnd w:id="360"/>
      <w:bookmarkEnd w:id="361"/>
      <w:bookmarkEnd w:id="362"/>
      <w:bookmarkEnd w:id="363"/>
      <w:bookmarkEnd w:id="364"/>
      <w:bookmarkEnd w:id="365"/>
      <w:r>
        <w:rPr>
          <w:rFonts w:hint="eastAsia"/>
          <w:color w:val="auto"/>
          <w:shd w:val="clear" w:color="FFFFFF" w:fill="D9D9D9"/>
        </w:rPr>
        <w:t>响应报价</w:t>
      </w:r>
    </w:p>
    <w:p w14:paraId="119C8A50">
      <w:pPr>
        <w:ind w:firstLine="420"/>
        <w:rPr>
          <w:color w:val="auto"/>
          <w:shd w:val="clear" w:color="FFFFFF" w:fill="D9D9D9"/>
        </w:rPr>
      </w:pPr>
      <w:r>
        <w:rPr>
          <w:color w:val="auto"/>
          <w:shd w:val="clear" w:color="FFFFFF" w:fill="D9D9D9"/>
        </w:rPr>
        <w:t xml:space="preserve">3.2.1 </w:t>
      </w:r>
      <w:r>
        <w:rPr>
          <w:rFonts w:hint="eastAsia"/>
          <w:color w:val="auto"/>
          <w:shd w:val="clear" w:color="FFFFFF" w:fill="D9D9D9"/>
        </w:rPr>
        <w:t>含税响应</w:t>
      </w:r>
      <w:r>
        <w:rPr>
          <w:color w:val="auto"/>
          <w:shd w:val="clear" w:color="FFFFFF" w:fill="D9D9D9"/>
        </w:rPr>
        <w:t>报价应包括国家规定的增值税税金，除</w:t>
      </w:r>
      <w:r>
        <w:rPr>
          <w:rFonts w:hint="eastAsia"/>
          <w:color w:val="auto"/>
          <w:shd w:val="clear" w:color="FFFFFF" w:fill="D9D9D9"/>
        </w:rPr>
        <w:t>响应</w:t>
      </w:r>
      <w:r>
        <w:rPr>
          <w:color w:val="auto"/>
          <w:shd w:val="clear" w:color="FFFFFF" w:fill="D9D9D9"/>
        </w:rPr>
        <w:t>人须知前附表另有规定外，增值税税金按一般计税方法计算。</w:t>
      </w:r>
      <w:r>
        <w:rPr>
          <w:rFonts w:hint="eastAsia"/>
          <w:color w:val="auto"/>
          <w:shd w:val="clear" w:color="FFFFFF" w:fill="D9D9D9"/>
        </w:rPr>
        <w:t>响应</w:t>
      </w:r>
      <w:r>
        <w:rPr>
          <w:color w:val="auto"/>
          <w:shd w:val="clear" w:color="FFFFFF" w:fill="D9D9D9"/>
        </w:rPr>
        <w:t>人应按第六章“</w:t>
      </w:r>
      <w:r>
        <w:rPr>
          <w:rFonts w:hint="eastAsia"/>
          <w:color w:val="auto"/>
          <w:shd w:val="clear" w:color="FFFFFF" w:fill="D9D9D9"/>
        </w:rPr>
        <w:t>响应</w:t>
      </w:r>
      <w:r>
        <w:rPr>
          <w:color w:val="auto"/>
          <w:shd w:val="clear" w:color="FFFFFF" w:fill="D9D9D9"/>
        </w:rPr>
        <w:t>文件格式”的要求进行报价。</w:t>
      </w:r>
    </w:p>
    <w:p w14:paraId="5B443740">
      <w:pPr>
        <w:ind w:firstLine="420"/>
        <w:rPr>
          <w:color w:val="auto"/>
          <w:shd w:val="clear" w:color="FFFFFF" w:fill="D9D9D9"/>
        </w:rPr>
      </w:pPr>
      <w:r>
        <w:rPr>
          <w:color w:val="auto"/>
          <w:shd w:val="clear" w:color="FFFFFF" w:fill="D9D9D9"/>
        </w:rPr>
        <w:t xml:space="preserve">3.2.2 </w:t>
      </w:r>
      <w:r>
        <w:rPr>
          <w:rFonts w:hint="eastAsia"/>
          <w:color w:val="auto"/>
          <w:shd w:val="clear" w:color="FFFFFF" w:fill="D9D9D9"/>
        </w:rPr>
        <w:t>响应</w:t>
      </w:r>
      <w:r>
        <w:rPr>
          <w:color w:val="auto"/>
          <w:shd w:val="clear" w:color="FFFFFF" w:fill="D9D9D9"/>
        </w:rPr>
        <w:t>人应充分了解该项目的总体情况以及影响</w:t>
      </w:r>
      <w:r>
        <w:rPr>
          <w:rFonts w:hint="eastAsia"/>
          <w:color w:val="auto"/>
          <w:shd w:val="clear" w:color="FFFFFF" w:fill="D9D9D9"/>
        </w:rPr>
        <w:t>响应</w:t>
      </w:r>
      <w:r>
        <w:rPr>
          <w:color w:val="auto"/>
          <w:shd w:val="clear" w:color="FFFFFF" w:fill="D9D9D9"/>
        </w:rPr>
        <w:t>报价的其他要素。</w:t>
      </w:r>
    </w:p>
    <w:p w14:paraId="500C5148">
      <w:pPr>
        <w:ind w:firstLine="420"/>
        <w:rPr>
          <w:color w:val="auto"/>
          <w:shd w:val="clear" w:color="FFFFFF" w:fill="D9D9D9"/>
        </w:rPr>
      </w:pPr>
      <w:r>
        <w:rPr>
          <w:color w:val="auto"/>
          <w:shd w:val="clear" w:color="FFFFFF" w:fill="D9D9D9"/>
        </w:rPr>
        <w:t xml:space="preserve">3.2.3 </w:t>
      </w:r>
      <w:r>
        <w:rPr>
          <w:rFonts w:hint="eastAsia"/>
          <w:color w:val="auto"/>
          <w:shd w:val="clear" w:color="FFFFFF" w:fill="D9D9D9"/>
        </w:rPr>
        <w:t>响应</w:t>
      </w:r>
      <w:r>
        <w:rPr>
          <w:color w:val="auto"/>
          <w:shd w:val="clear" w:color="FFFFFF" w:fill="D9D9D9"/>
        </w:rPr>
        <w:t>报价为各分项报价金额之和；如分项报价中存在缺漏项，则视为缺漏项价格已包含在其他分项报价之中。</w:t>
      </w:r>
    </w:p>
    <w:p w14:paraId="3BA6E71C">
      <w:pPr>
        <w:ind w:firstLine="420"/>
        <w:rPr>
          <w:color w:val="auto"/>
          <w:shd w:val="clear" w:color="FFFFFF" w:fill="D9D9D9"/>
        </w:rPr>
      </w:pPr>
      <w:r>
        <w:rPr>
          <w:color w:val="auto"/>
          <w:shd w:val="clear" w:color="FFFFFF" w:fill="D9D9D9"/>
        </w:rPr>
        <w:t xml:space="preserve">3.2.4 </w:t>
      </w:r>
      <w:r>
        <w:rPr>
          <w:rFonts w:hint="eastAsia"/>
          <w:color w:val="auto"/>
          <w:shd w:val="clear" w:color="FFFFFF" w:fill="D9D9D9"/>
        </w:rPr>
        <w:t>采购人</w:t>
      </w:r>
      <w:r>
        <w:rPr>
          <w:color w:val="auto"/>
          <w:shd w:val="clear" w:color="FFFFFF" w:fill="D9D9D9"/>
        </w:rPr>
        <w:t>设有最高限价的，</w:t>
      </w:r>
      <w:r>
        <w:rPr>
          <w:rFonts w:hint="eastAsia"/>
          <w:color w:val="auto"/>
          <w:shd w:val="clear" w:color="FFFFFF" w:fill="D9D9D9"/>
        </w:rPr>
        <w:t>响应</w:t>
      </w:r>
      <w:r>
        <w:rPr>
          <w:color w:val="auto"/>
          <w:shd w:val="clear" w:color="FFFFFF" w:fill="D9D9D9"/>
        </w:rPr>
        <w:t>人的</w:t>
      </w:r>
      <w:r>
        <w:rPr>
          <w:rFonts w:hint="eastAsia"/>
          <w:color w:val="auto"/>
          <w:shd w:val="clear" w:color="FFFFFF" w:fill="D9D9D9"/>
        </w:rPr>
        <w:t>响应</w:t>
      </w:r>
      <w:r>
        <w:rPr>
          <w:color w:val="auto"/>
          <w:shd w:val="clear" w:color="FFFFFF" w:fill="D9D9D9"/>
        </w:rPr>
        <w:t>报价不得超过最高限价，最高限价在</w:t>
      </w:r>
      <w:r>
        <w:rPr>
          <w:rFonts w:hint="eastAsia"/>
          <w:color w:val="auto"/>
          <w:shd w:val="clear" w:color="FFFFFF" w:fill="D9D9D9"/>
        </w:rPr>
        <w:t>响应</w:t>
      </w:r>
      <w:r>
        <w:rPr>
          <w:color w:val="auto"/>
          <w:shd w:val="clear" w:color="FFFFFF" w:fill="D9D9D9"/>
        </w:rPr>
        <w:t>人须知前附表中载明。</w:t>
      </w:r>
    </w:p>
    <w:p w14:paraId="17C35214">
      <w:pPr>
        <w:ind w:firstLine="420"/>
        <w:rPr>
          <w:color w:val="auto"/>
          <w:shd w:val="clear" w:color="FFFFFF" w:fill="D9D9D9"/>
        </w:rPr>
      </w:pPr>
      <w:r>
        <w:rPr>
          <w:color w:val="auto"/>
          <w:shd w:val="clear" w:color="FFFFFF" w:fill="D9D9D9"/>
        </w:rPr>
        <w:t xml:space="preserve">3.2.5 </w:t>
      </w:r>
      <w:r>
        <w:rPr>
          <w:rFonts w:hint="eastAsia"/>
          <w:color w:val="auto"/>
          <w:shd w:val="clear" w:color="FFFFFF" w:fill="D9D9D9"/>
        </w:rPr>
        <w:t>响应</w:t>
      </w:r>
      <w:r>
        <w:rPr>
          <w:color w:val="auto"/>
          <w:shd w:val="clear" w:color="FFFFFF" w:fill="D9D9D9"/>
        </w:rPr>
        <w:t>报价的其他要求见</w:t>
      </w:r>
      <w:r>
        <w:rPr>
          <w:rFonts w:hint="eastAsia"/>
          <w:color w:val="auto"/>
          <w:shd w:val="clear" w:color="FFFFFF" w:fill="D9D9D9"/>
        </w:rPr>
        <w:t>响应</w:t>
      </w:r>
      <w:r>
        <w:rPr>
          <w:color w:val="auto"/>
          <w:shd w:val="clear" w:color="FFFFFF" w:fill="D9D9D9"/>
        </w:rPr>
        <w:t>人须知前附表。</w:t>
      </w:r>
    </w:p>
    <w:p w14:paraId="2F1C5EEC">
      <w:pPr>
        <w:pStyle w:val="4"/>
        <w:ind w:firstLine="422"/>
        <w:rPr>
          <w:color w:val="auto"/>
          <w:shd w:val="clear" w:color="FFFFFF" w:fill="D9D9D9"/>
        </w:rPr>
      </w:pPr>
      <w:bookmarkStart w:id="366" w:name="_Toc300"/>
      <w:bookmarkStart w:id="367" w:name="_Toc10984"/>
      <w:bookmarkStart w:id="368" w:name="_Toc31408"/>
      <w:bookmarkStart w:id="369" w:name="_Toc30421"/>
      <w:bookmarkStart w:id="370" w:name="_Toc6603"/>
      <w:bookmarkStart w:id="371" w:name="_Toc26971"/>
      <w:r>
        <w:rPr>
          <w:rFonts w:hint="eastAsia"/>
          <w:color w:val="auto"/>
          <w:shd w:val="clear" w:color="FFFFFF" w:fill="D9D9D9"/>
        </w:rPr>
        <w:t xml:space="preserve">3.3 </w:t>
      </w:r>
      <w:bookmarkEnd w:id="366"/>
      <w:bookmarkEnd w:id="367"/>
      <w:bookmarkEnd w:id="368"/>
      <w:bookmarkEnd w:id="369"/>
      <w:bookmarkEnd w:id="370"/>
      <w:bookmarkEnd w:id="371"/>
      <w:r>
        <w:rPr>
          <w:rFonts w:hint="eastAsia"/>
          <w:color w:val="auto"/>
          <w:shd w:val="clear" w:color="FFFFFF" w:fill="D9D9D9"/>
        </w:rPr>
        <w:t>响应有效期</w:t>
      </w:r>
    </w:p>
    <w:p w14:paraId="1E0CECB3">
      <w:pPr>
        <w:ind w:firstLine="420"/>
        <w:rPr>
          <w:color w:val="auto"/>
          <w:shd w:val="clear" w:color="FFFFFF" w:fill="D9D9D9"/>
        </w:rPr>
      </w:pPr>
      <w:r>
        <w:rPr>
          <w:rFonts w:hint="eastAsia"/>
          <w:color w:val="auto"/>
          <w:shd w:val="clear" w:color="FFFFFF" w:fill="D9D9D9"/>
        </w:rPr>
        <w:t>3.3.1 响应有效期为90天</w:t>
      </w:r>
      <w:r>
        <w:rPr>
          <w:color w:val="auto"/>
          <w:shd w:val="clear" w:color="FFFFFF" w:fill="D9D9D9"/>
        </w:rPr>
        <w:t>（从提交</w:t>
      </w:r>
      <w:r>
        <w:rPr>
          <w:rFonts w:hint="eastAsia"/>
          <w:color w:val="auto"/>
          <w:shd w:val="clear" w:color="FFFFFF" w:fill="D9D9D9"/>
        </w:rPr>
        <w:t>响应文件</w:t>
      </w:r>
      <w:r>
        <w:rPr>
          <w:color w:val="auto"/>
          <w:shd w:val="clear" w:color="FFFFFF" w:fill="D9D9D9"/>
        </w:rPr>
        <w:t>截止日起计算）</w:t>
      </w:r>
      <w:r>
        <w:rPr>
          <w:rFonts w:hint="eastAsia"/>
          <w:color w:val="auto"/>
          <w:shd w:val="clear" w:color="FFFFFF" w:fill="D9D9D9"/>
        </w:rPr>
        <w:t>。</w:t>
      </w:r>
    </w:p>
    <w:p w14:paraId="715308C8">
      <w:pPr>
        <w:ind w:firstLine="420"/>
        <w:rPr>
          <w:color w:val="auto"/>
          <w:shd w:val="clear" w:color="FFFFFF" w:fill="D9D9D9"/>
        </w:rPr>
      </w:pPr>
      <w:r>
        <w:rPr>
          <w:rFonts w:hint="eastAsia"/>
          <w:color w:val="auto"/>
          <w:shd w:val="clear" w:color="FFFFFF" w:fill="D9D9D9"/>
        </w:rPr>
        <w:t>3.3.2 在响应有效期内，响应人撤销或修改其响应文件的，应承担询比文件和法律规定的责任。</w:t>
      </w:r>
    </w:p>
    <w:p w14:paraId="55F2FB04">
      <w:pPr>
        <w:ind w:firstLine="420"/>
        <w:rPr>
          <w:color w:val="auto"/>
          <w:shd w:val="clear" w:color="FFFFFF" w:fill="D9D9D9"/>
        </w:rPr>
      </w:pPr>
      <w:r>
        <w:rPr>
          <w:rFonts w:hint="eastAsia"/>
          <w:color w:val="auto"/>
          <w:shd w:val="clear" w:color="FFFFFF" w:fill="D9D9D9"/>
        </w:rPr>
        <w:t>3.3.3 出现特殊情况需要延长响应有效期的，采购人以书面形式通知所有响应人延长响应有效期。响应人应予以书面答复，同意延长的，应相应延长其响应保证金的有效期，但不得要求或被允许修改其响应文件；响应人拒绝延长的，其响应失效，但响应人有权收回其响应保证金。</w:t>
      </w:r>
    </w:p>
    <w:p w14:paraId="31BC3283">
      <w:pPr>
        <w:pStyle w:val="4"/>
        <w:ind w:firstLine="422"/>
        <w:rPr>
          <w:color w:val="auto"/>
          <w:shd w:val="clear" w:color="FFFFFF" w:fill="D9D9D9"/>
        </w:rPr>
      </w:pPr>
      <w:bookmarkStart w:id="372" w:name="_Toc21451"/>
      <w:bookmarkStart w:id="373" w:name="_Toc7171"/>
      <w:bookmarkStart w:id="374" w:name="_Toc22924"/>
      <w:bookmarkStart w:id="375" w:name="_Toc30512"/>
      <w:bookmarkStart w:id="376" w:name="_Toc2320"/>
      <w:bookmarkStart w:id="377" w:name="_Toc6048"/>
      <w:r>
        <w:rPr>
          <w:rFonts w:hint="eastAsia"/>
          <w:color w:val="auto"/>
          <w:shd w:val="clear" w:color="FFFFFF" w:fill="D9D9D9"/>
        </w:rPr>
        <w:t xml:space="preserve">3.4 </w:t>
      </w:r>
      <w:bookmarkEnd w:id="372"/>
      <w:bookmarkEnd w:id="373"/>
      <w:bookmarkEnd w:id="374"/>
      <w:bookmarkEnd w:id="375"/>
      <w:bookmarkEnd w:id="376"/>
      <w:bookmarkEnd w:id="377"/>
      <w:r>
        <w:rPr>
          <w:rFonts w:hint="eastAsia"/>
          <w:color w:val="auto"/>
          <w:shd w:val="clear" w:color="FFFFFF" w:fill="D9D9D9"/>
        </w:rPr>
        <w:t>响应保证金</w:t>
      </w:r>
    </w:p>
    <w:p w14:paraId="40EAE18E">
      <w:pPr>
        <w:ind w:firstLine="420"/>
        <w:rPr>
          <w:color w:val="auto"/>
          <w:shd w:val="clear" w:color="FFFFFF" w:fill="D9D9D9"/>
        </w:rPr>
      </w:pPr>
      <w:r>
        <w:rPr>
          <w:rFonts w:hint="eastAsia"/>
          <w:color w:val="auto"/>
          <w:shd w:val="clear" w:color="FFFFFF" w:fill="D9D9D9"/>
        </w:rPr>
        <w:t>3.4.1 响应人须知前附表规定递交响应保证金的，响应人在递交响应文件的同时，应按响应人须知前附表规定的金额、形式递交响应保证金，并作为其响应文件的组成部分。</w:t>
      </w:r>
    </w:p>
    <w:p w14:paraId="7FAF353A">
      <w:pPr>
        <w:ind w:firstLine="420"/>
        <w:rPr>
          <w:color w:val="auto"/>
          <w:shd w:val="clear" w:color="FFFFFF" w:fill="D9D9D9"/>
        </w:rPr>
      </w:pPr>
      <w:r>
        <w:rPr>
          <w:rFonts w:hint="eastAsia"/>
          <w:color w:val="auto"/>
          <w:shd w:val="clear" w:color="FFFFFF" w:fill="D9D9D9"/>
        </w:rPr>
        <w:t>联合体响应的，其响应保证金可以由牵头人递交，并应符合响应人须知前附表的规定。</w:t>
      </w:r>
    </w:p>
    <w:p w14:paraId="7765692B">
      <w:pPr>
        <w:ind w:firstLine="420"/>
        <w:rPr>
          <w:color w:val="auto"/>
          <w:shd w:val="clear" w:color="FFFFFF" w:fill="D9D9D9"/>
        </w:rPr>
      </w:pPr>
      <w:r>
        <w:rPr>
          <w:rFonts w:hint="eastAsia"/>
          <w:color w:val="auto"/>
          <w:shd w:val="clear" w:color="FFFFFF" w:fill="D9D9D9"/>
        </w:rPr>
        <w:t>3.4.2 响应人不按本章第 3.4.1 项要求提交响应保证金的，评审委员会将否决其响应。</w:t>
      </w:r>
    </w:p>
    <w:p w14:paraId="167D390B">
      <w:pPr>
        <w:ind w:firstLine="420"/>
        <w:rPr>
          <w:color w:val="auto"/>
          <w:shd w:val="clear" w:color="FFFFFF" w:fill="D9D9D9"/>
        </w:rPr>
      </w:pPr>
      <w:r>
        <w:rPr>
          <w:rFonts w:hint="eastAsia"/>
          <w:color w:val="auto"/>
          <w:shd w:val="clear" w:color="FFFFFF" w:fill="D9D9D9"/>
        </w:rPr>
        <w:t>3.4.3 响应保证金退还</w:t>
      </w:r>
    </w:p>
    <w:p w14:paraId="2B9C8B91">
      <w:pPr>
        <w:ind w:firstLine="420"/>
        <w:rPr>
          <w:color w:val="auto"/>
          <w:shd w:val="clear" w:color="FFFFFF" w:fill="D9D9D9"/>
        </w:rPr>
      </w:pPr>
      <w:r>
        <w:rPr>
          <w:rFonts w:hint="eastAsia"/>
          <w:color w:val="auto"/>
          <w:shd w:val="clear" w:color="FFFFFF" w:fill="D9D9D9"/>
        </w:rPr>
        <w:t>采购人应当在成交通知书发出后将成交通知书和保证金退还通知抄告重庆市公共资源交易中心，重庆市公共资源交易中心在收到资料之次日起2个工作日内，向除成交供应商以外的响应人，退还响应保证金及银行同期活期存款利息。</w:t>
      </w:r>
    </w:p>
    <w:p w14:paraId="402F1A37">
      <w:pPr>
        <w:ind w:firstLine="420"/>
        <w:rPr>
          <w:color w:val="auto"/>
          <w:shd w:val="clear" w:color="FFFFFF" w:fill="D9D9D9"/>
        </w:rPr>
      </w:pPr>
      <w:r>
        <w:rPr>
          <w:rFonts w:hint="eastAsia"/>
          <w:color w:val="auto"/>
          <w:shd w:val="clear" w:color="FFFFFF" w:fill="D9D9D9"/>
        </w:rPr>
        <w:t>采购人应当在合同生效后将签订的合同和保证金退还通知抄告重庆市公共资源交易中心，重庆市公共资源交易中心在收到资料之次日起2个工作日内，向成交供应商退还响应保证金及银行同期活期存款利息。</w:t>
      </w:r>
    </w:p>
    <w:p w14:paraId="0C7B2484">
      <w:pPr>
        <w:ind w:firstLine="420"/>
        <w:rPr>
          <w:color w:val="auto"/>
          <w:shd w:val="clear" w:color="FFFFFF" w:fill="D9D9D9"/>
        </w:rPr>
      </w:pPr>
      <w:r>
        <w:rPr>
          <w:rFonts w:hint="eastAsia"/>
          <w:color w:val="auto"/>
          <w:shd w:val="clear" w:color="FFFFFF" w:fill="D9D9D9"/>
        </w:rPr>
        <w:t>响应保证金专用账户由重庆市公共资源交易中心制定，关于保证金相关情况的问题请咨询重庆市公共资源交易中心。</w:t>
      </w:r>
    </w:p>
    <w:p w14:paraId="45306289">
      <w:pPr>
        <w:ind w:firstLine="420"/>
        <w:rPr>
          <w:color w:val="auto"/>
          <w:shd w:val="clear" w:color="FFFFFF" w:fill="D9D9D9"/>
        </w:rPr>
      </w:pPr>
      <w:r>
        <w:rPr>
          <w:rFonts w:hint="eastAsia"/>
          <w:color w:val="auto"/>
          <w:shd w:val="clear" w:color="FFFFFF" w:fill="D9D9D9"/>
        </w:rPr>
        <w:t>3.4.4 有下列情形之一的，响应保证金将不予退还：</w:t>
      </w:r>
    </w:p>
    <w:p w14:paraId="713C66F7">
      <w:pPr>
        <w:ind w:firstLine="420"/>
        <w:rPr>
          <w:color w:val="auto"/>
          <w:shd w:val="clear" w:color="FFFFFF" w:fill="D9D9D9"/>
        </w:rPr>
      </w:pPr>
      <w:r>
        <w:rPr>
          <w:rFonts w:hint="eastAsia"/>
          <w:color w:val="auto"/>
          <w:shd w:val="clear" w:color="FFFFFF" w:fill="D9D9D9"/>
        </w:rPr>
        <w:t>（1）响应人在响应有效期内撤销响应文件；</w:t>
      </w:r>
    </w:p>
    <w:p w14:paraId="5D7F41FC">
      <w:pPr>
        <w:ind w:firstLine="420"/>
        <w:rPr>
          <w:color w:val="auto"/>
          <w:shd w:val="clear" w:color="FFFFFF" w:fill="D9D9D9"/>
        </w:rPr>
      </w:pPr>
      <w:r>
        <w:rPr>
          <w:rFonts w:hint="eastAsia"/>
          <w:color w:val="auto"/>
          <w:shd w:val="clear" w:color="FFFFFF" w:fill="D9D9D9"/>
        </w:rPr>
        <w:t>（2）成交供应商出现本章第 7.5.2 项的情形；</w:t>
      </w:r>
    </w:p>
    <w:p w14:paraId="23224637">
      <w:pPr>
        <w:ind w:firstLine="420"/>
        <w:rPr>
          <w:color w:val="auto"/>
          <w:shd w:val="clear" w:color="FFFFFF" w:fill="D9D9D9"/>
        </w:rPr>
      </w:pPr>
      <w:r>
        <w:rPr>
          <w:rFonts w:hint="eastAsia"/>
          <w:color w:val="auto"/>
          <w:shd w:val="clear" w:color="FFFFFF" w:fill="D9D9D9"/>
        </w:rPr>
        <w:t>（3）成交供应商在签订合同时向采购人提出附加条件，或者不按照询比文件要求提交履约保证金；</w:t>
      </w:r>
    </w:p>
    <w:p w14:paraId="4F5DE4A1">
      <w:pPr>
        <w:ind w:firstLine="420"/>
        <w:rPr>
          <w:color w:val="auto"/>
          <w:shd w:val="clear" w:color="FFFFFF" w:fill="D9D9D9"/>
        </w:rPr>
      </w:pPr>
      <w:r>
        <w:rPr>
          <w:rFonts w:hint="eastAsia"/>
          <w:color w:val="auto"/>
          <w:shd w:val="clear" w:color="FFFFFF" w:fill="D9D9D9"/>
        </w:rPr>
        <w:t>（4）成交供应商不能按本章第 7.4.1 项要求提交履约担保的；</w:t>
      </w:r>
    </w:p>
    <w:p w14:paraId="51AA24EB">
      <w:pPr>
        <w:ind w:firstLine="420"/>
        <w:rPr>
          <w:color w:val="auto"/>
          <w:shd w:val="clear" w:color="FFFFFF" w:fill="D9D9D9"/>
        </w:rPr>
      </w:pPr>
      <w:r>
        <w:rPr>
          <w:rFonts w:hint="eastAsia"/>
          <w:color w:val="auto"/>
          <w:shd w:val="clear" w:color="FFFFFF" w:fill="D9D9D9"/>
        </w:rPr>
        <w:t>（5）成交供应商因自身原因不能履行合同；</w:t>
      </w:r>
    </w:p>
    <w:p w14:paraId="6C4CE3D7">
      <w:pPr>
        <w:ind w:firstLine="420"/>
        <w:rPr>
          <w:color w:val="auto"/>
          <w:shd w:val="clear" w:color="FFFFFF" w:fill="D9D9D9"/>
        </w:rPr>
      </w:pPr>
      <w:r>
        <w:rPr>
          <w:rFonts w:hint="eastAsia"/>
          <w:color w:val="auto"/>
          <w:shd w:val="clear" w:color="FFFFFF" w:fill="D9D9D9"/>
        </w:rPr>
        <w:t>（6）成交供应商响应材料出现造假、不实等与实际查询结果不符或无故弃选的情况；</w:t>
      </w:r>
    </w:p>
    <w:p w14:paraId="4B8ED4B4">
      <w:pPr>
        <w:ind w:firstLine="420"/>
        <w:rPr>
          <w:color w:val="auto"/>
          <w:shd w:val="clear" w:color="FFFFFF" w:fill="D9D9D9"/>
        </w:rPr>
      </w:pPr>
      <w:r>
        <w:rPr>
          <w:color w:val="auto"/>
          <w:shd w:val="clear" w:color="FFFFFF" w:fill="D9D9D9"/>
        </w:rPr>
        <w:t>（</w:t>
      </w:r>
      <w:r>
        <w:rPr>
          <w:rFonts w:hint="eastAsia"/>
          <w:color w:val="auto"/>
          <w:shd w:val="clear" w:color="FFFFFF" w:fill="D9D9D9"/>
        </w:rPr>
        <w:t>7</w:t>
      </w:r>
      <w:r>
        <w:rPr>
          <w:color w:val="auto"/>
          <w:shd w:val="clear" w:color="FFFFFF" w:fill="D9D9D9"/>
        </w:rPr>
        <w:t>）</w:t>
      </w:r>
      <w:r>
        <w:rPr>
          <w:rFonts w:hint="eastAsia"/>
          <w:color w:val="auto"/>
          <w:shd w:val="clear" w:color="FFFFFF" w:fill="D9D9D9"/>
        </w:rPr>
        <w:t>采购人</w:t>
      </w:r>
      <w:r>
        <w:rPr>
          <w:color w:val="auto"/>
          <w:shd w:val="clear" w:color="FFFFFF" w:fill="D9D9D9"/>
        </w:rPr>
        <w:t>有权对</w:t>
      </w:r>
      <w:r>
        <w:rPr>
          <w:rFonts w:hint="eastAsia"/>
          <w:color w:val="auto"/>
          <w:shd w:val="clear" w:color="FFFFFF" w:fill="D9D9D9"/>
        </w:rPr>
        <w:t>响应人</w:t>
      </w:r>
      <w:r>
        <w:rPr>
          <w:color w:val="auto"/>
          <w:shd w:val="clear" w:color="FFFFFF" w:fill="D9D9D9"/>
        </w:rPr>
        <w:t>提供的资料进行核实，若发现弄虚作假、串通等情形的，</w:t>
      </w:r>
      <w:r>
        <w:rPr>
          <w:rFonts w:hint="eastAsia"/>
          <w:color w:val="auto"/>
          <w:shd w:val="clear" w:color="FFFFFF" w:fill="D9D9D9"/>
        </w:rPr>
        <w:t>响应保证金</w:t>
      </w:r>
      <w:r>
        <w:rPr>
          <w:color w:val="auto"/>
          <w:shd w:val="clear" w:color="FFFFFF" w:fill="D9D9D9"/>
        </w:rPr>
        <w:t>不予退还；</w:t>
      </w:r>
    </w:p>
    <w:p w14:paraId="63000B29">
      <w:pPr>
        <w:ind w:firstLine="420"/>
        <w:rPr>
          <w:color w:val="auto"/>
          <w:shd w:val="clear" w:color="FFFFFF" w:fill="D9D9D9"/>
        </w:rPr>
      </w:pPr>
      <w:bookmarkStart w:id="378" w:name="_bookmark43"/>
      <w:bookmarkEnd w:id="378"/>
      <w:r>
        <w:rPr>
          <w:rFonts w:hint="eastAsia"/>
          <w:color w:val="auto"/>
          <w:shd w:val="clear" w:color="FFFFFF" w:fill="D9D9D9"/>
        </w:rPr>
        <w:t>（8）发生响应人须知前附表规定的其他可以不予退还响应保证金的情形；</w:t>
      </w:r>
    </w:p>
    <w:p w14:paraId="7D1B631E">
      <w:pPr>
        <w:ind w:firstLine="420"/>
        <w:rPr>
          <w:color w:val="auto"/>
          <w:shd w:val="clear" w:color="FFFFFF" w:fill="D9D9D9"/>
        </w:rPr>
      </w:pPr>
      <w:r>
        <w:rPr>
          <w:rFonts w:hint="eastAsia"/>
          <w:color w:val="auto"/>
          <w:shd w:val="clear" w:color="FFFFFF" w:fill="D9D9D9"/>
        </w:rPr>
        <w:t>给采购人造成的损失超过响应保证金数额的，成交供应商还应当对超过部分予以赔偿。</w:t>
      </w:r>
    </w:p>
    <w:p w14:paraId="140F8D11">
      <w:pPr>
        <w:pStyle w:val="4"/>
        <w:ind w:firstLine="422"/>
        <w:rPr>
          <w:color w:val="auto"/>
          <w:shd w:val="clear" w:color="FFFFFF" w:fill="D9D9D9"/>
        </w:rPr>
      </w:pPr>
      <w:bookmarkStart w:id="379" w:name="_Toc30129"/>
      <w:bookmarkStart w:id="380" w:name="_Toc509218733"/>
      <w:bookmarkStart w:id="381" w:name="_Toc287607769"/>
      <w:bookmarkStart w:id="382" w:name="_Toc14456"/>
      <w:bookmarkStart w:id="383" w:name="_Toc10504"/>
      <w:bookmarkStart w:id="384" w:name="_Toc430530458"/>
      <w:bookmarkStart w:id="385" w:name="_Toc57820583"/>
      <w:bookmarkStart w:id="386" w:name="_Toc277082575"/>
      <w:bookmarkStart w:id="387" w:name="_Toc200513149"/>
      <w:bookmarkStart w:id="388" w:name="_Toc224103340"/>
      <w:bookmarkStart w:id="389" w:name="_Toc26066"/>
      <w:bookmarkStart w:id="390" w:name="_Toc21558"/>
      <w:bookmarkStart w:id="391" w:name="_Toc26337"/>
      <w:bookmarkStart w:id="392" w:name="_Toc287620708"/>
      <w:r>
        <w:rPr>
          <w:rFonts w:hint="eastAsia"/>
          <w:color w:val="auto"/>
          <w:shd w:val="clear" w:color="FFFFFF" w:fill="D9D9D9"/>
        </w:rPr>
        <w:t>3.5</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Start w:id="393" w:name="_Toc10387"/>
      <w:bookmarkStart w:id="394" w:name="_Toc430530459"/>
      <w:bookmarkStart w:id="395" w:name="_Toc2854"/>
      <w:bookmarkStart w:id="396" w:name="_Toc277082576"/>
      <w:bookmarkStart w:id="397" w:name="_Toc287607770"/>
      <w:bookmarkStart w:id="398" w:name="_Toc57820584"/>
      <w:bookmarkStart w:id="399" w:name="_Toc287620709"/>
      <w:bookmarkStart w:id="400" w:name="_Toc224103341"/>
      <w:bookmarkStart w:id="401" w:name="_Toc6059"/>
      <w:bookmarkStart w:id="402" w:name="_Toc12258"/>
      <w:bookmarkStart w:id="403" w:name="_Toc16114"/>
      <w:bookmarkStart w:id="404" w:name="_Toc509218734"/>
      <w:bookmarkStart w:id="405" w:name="_Toc200513150"/>
      <w:bookmarkStart w:id="406" w:name="_Toc15728"/>
      <w:r>
        <w:rPr>
          <w:rFonts w:hint="eastAsia"/>
          <w:color w:val="auto"/>
          <w:shd w:val="clear" w:color="FFFFFF" w:fill="D9D9D9"/>
        </w:rPr>
        <w:t xml:space="preserve"> 资格审查资料</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32FF43AC">
      <w:pPr>
        <w:ind w:firstLine="420"/>
        <w:rPr>
          <w:color w:val="auto"/>
          <w:shd w:val="clear" w:color="FFFFFF" w:fill="D9D9D9"/>
        </w:rPr>
      </w:pPr>
      <w:r>
        <w:rPr>
          <w:rFonts w:hint="eastAsia"/>
          <w:color w:val="auto"/>
          <w:shd w:val="clear" w:color="FFFFFF" w:fill="D9D9D9"/>
        </w:rPr>
        <w:t>响应人应附响应人须知前附表第 1.4.1 项中要求的相关证明材料。</w:t>
      </w:r>
    </w:p>
    <w:p w14:paraId="3875F142">
      <w:pPr>
        <w:ind w:firstLine="420"/>
        <w:rPr>
          <w:color w:val="auto"/>
          <w:shd w:val="clear" w:color="FFFFFF" w:fill="D9D9D9"/>
        </w:rPr>
      </w:pPr>
      <w:r>
        <w:rPr>
          <w:rFonts w:hint="eastAsia"/>
          <w:color w:val="auto"/>
          <w:shd w:val="clear" w:color="FFFFFF" w:fill="D9D9D9"/>
        </w:rPr>
        <w:t>询比公告规定接受联合体响应的，详见询比公告联合体响应相关内容。</w:t>
      </w:r>
    </w:p>
    <w:p w14:paraId="6EBEC0BC">
      <w:pPr>
        <w:pStyle w:val="4"/>
        <w:ind w:firstLine="422"/>
        <w:rPr>
          <w:color w:val="auto"/>
          <w:shd w:val="clear" w:color="FFFFFF" w:fill="D9D9D9"/>
        </w:rPr>
      </w:pPr>
      <w:bookmarkStart w:id="407" w:name="_Toc5230"/>
      <w:bookmarkStart w:id="408" w:name="_Toc25167"/>
      <w:bookmarkStart w:id="409" w:name="_Toc2965"/>
      <w:bookmarkStart w:id="410" w:name="_Toc1411"/>
      <w:bookmarkStart w:id="411" w:name="_Toc27555"/>
      <w:bookmarkStart w:id="412" w:name="_Toc20891"/>
      <w:r>
        <w:rPr>
          <w:rFonts w:hint="eastAsia"/>
          <w:color w:val="auto"/>
          <w:shd w:val="clear" w:color="FFFFFF" w:fill="D9D9D9"/>
        </w:rPr>
        <w:t>3.6 备选响应方案</w:t>
      </w:r>
      <w:bookmarkEnd w:id="407"/>
      <w:bookmarkEnd w:id="408"/>
      <w:bookmarkEnd w:id="409"/>
      <w:bookmarkEnd w:id="410"/>
      <w:bookmarkEnd w:id="411"/>
      <w:bookmarkEnd w:id="412"/>
    </w:p>
    <w:p w14:paraId="75B4DA5F">
      <w:pPr>
        <w:ind w:firstLine="420"/>
        <w:rPr>
          <w:color w:val="auto"/>
          <w:shd w:val="clear" w:color="FFFFFF" w:fill="D9D9D9"/>
        </w:rPr>
      </w:pPr>
      <w:r>
        <w:rPr>
          <w:rFonts w:hint="eastAsia"/>
          <w:color w:val="auto"/>
          <w:shd w:val="clear" w:color="FFFFFF" w:fill="D9D9D9"/>
        </w:rPr>
        <w:t>响应人不得递交备选响应方案。</w:t>
      </w:r>
    </w:p>
    <w:p w14:paraId="356116DF">
      <w:pPr>
        <w:pStyle w:val="4"/>
        <w:ind w:firstLine="422"/>
        <w:rPr>
          <w:color w:val="auto"/>
          <w:shd w:val="clear" w:color="FFFFFF" w:fill="D9D9D9"/>
        </w:rPr>
      </w:pPr>
      <w:bookmarkStart w:id="413" w:name="_Toc6022"/>
      <w:bookmarkStart w:id="414" w:name="_Toc3828"/>
      <w:bookmarkStart w:id="415" w:name="_Toc30024"/>
      <w:bookmarkStart w:id="416" w:name="_Toc22182"/>
      <w:bookmarkStart w:id="417" w:name="_Toc32084"/>
      <w:bookmarkStart w:id="418" w:name="_Toc16113"/>
      <w:r>
        <w:rPr>
          <w:rFonts w:hint="eastAsia"/>
          <w:color w:val="auto"/>
          <w:shd w:val="clear" w:color="FFFFFF" w:fill="D9D9D9"/>
        </w:rPr>
        <w:t>3.7 响应文件的编制</w:t>
      </w:r>
      <w:bookmarkEnd w:id="413"/>
      <w:bookmarkEnd w:id="414"/>
      <w:bookmarkEnd w:id="415"/>
      <w:bookmarkEnd w:id="416"/>
      <w:bookmarkEnd w:id="417"/>
      <w:bookmarkEnd w:id="418"/>
    </w:p>
    <w:p w14:paraId="20CECA7B">
      <w:pPr>
        <w:ind w:firstLine="420"/>
        <w:rPr>
          <w:color w:val="auto"/>
          <w:shd w:val="clear" w:color="FFFFFF" w:fill="D9D9D9"/>
        </w:rPr>
      </w:pPr>
      <w:r>
        <w:rPr>
          <w:rFonts w:hint="eastAsia"/>
          <w:color w:val="auto"/>
          <w:shd w:val="clear" w:color="FFFFFF" w:fill="D9D9D9"/>
        </w:rPr>
        <w:t>3.7.1 响应文件应按第六章“响应文件格式”进行编写，如有必要，可以增加附页，作为响应文件的组成部分。</w:t>
      </w:r>
    </w:p>
    <w:p w14:paraId="4F9C6E22">
      <w:pPr>
        <w:ind w:firstLine="420"/>
        <w:rPr>
          <w:color w:val="auto"/>
          <w:shd w:val="clear" w:color="FFFFFF" w:fill="D9D9D9"/>
        </w:rPr>
      </w:pPr>
      <w:r>
        <w:rPr>
          <w:rFonts w:hint="eastAsia"/>
          <w:color w:val="auto"/>
          <w:shd w:val="clear" w:color="FFFFFF" w:fill="D9D9D9"/>
        </w:rPr>
        <w:t>3.7.2 响应文件应当对询比文件有关时间要求、地点要求、响应有效期、项目要求、询比范围等实质性内容做出响应。</w:t>
      </w:r>
    </w:p>
    <w:p w14:paraId="667AFC11">
      <w:pPr>
        <w:ind w:firstLine="420"/>
        <w:rPr>
          <w:color w:val="auto"/>
          <w:shd w:val="clear" w:color="FFFFFF" w:fill="D9D9D9"/>
        </w:rPr>
      </w:pPr>
      <w:r>
        <w:rPr>
          <w:rFonts w:hint="eastAsia"/>
          <w:color w:val="auto"/>
          <w:shd w:val="clear" w:color="FFFFFF" w:fill="D9D9D9"/>
        </w:rPr>
        <w:t>3.7.3 响应文件的签名盖章要求</w:t>
      </w:r>
    </w:p>
    <w:p w14:paraId="63B1584F">
      <w:pPr>
        <w:ind w:firstLine="420"/>
        <w:rPr>
          <w:color w:val="auto"/>
          <w:shd w:val="clear" w:color="FFFFFF" w:fill="D9D9D9"/>
        </w:rPr>
      </w:pPr>
      <w:r>
        <w:rPr>
          <w:rFonts w:hint="eastAsia"/>
          <w:color w:val="auto"/>
          <w:shd w:val="clear" w:color="FFFFFF" w:fill="D9D9D9"/>
        </w:rPr>
        <w:t>响应文件应使用专用的“新点投标文件制作软件（重庆版）”编制工具编制而成。第六章 响应文件格式要求签名（或盖章）的须齐全，要求签名（或盖章）的，签名采用手写签名或签章或加盖CA数字证书均可。</w:t>
      </w:r>
    </w:p>
    <w:p w14:paraId="1713908B">
      <w:pPr>
        <w:ind w:firstLine="422"/>
        <w:rPr>
          <w:b/>
          <w:bCs/>
          <w:color w:val="auto"/>
          <w:shd w:val="clear" w:color="FFFFFF" w:fill="D9D9D9"/>
        </w:rPr>
      </w:pPr>
      <w:r>
        <w:rPr>
          <w:rFonts w:hint="eastAsia"/>
          <w:b/>
          <w:bCs/>
          <w:color w:val="auto"/>
          <w:shd w:val="clear" w:color="FFFFFF" w:fill="D9D9D9"/>
        </w:rPr>
        <w:t>若允许分支机构参与响应的，文件中要求法定代表人签名（或盖章）的地方由分支机构负责人签名（或盖章）。</w:t>
      </w:r>
    </w:p>
    <w:p w14:paraId="1AE43183">
      <w:pPr>
        <w:ind w:firstLine="420"/>
        <w:rPr>
          <w:color w:val="auto"/>
          <w:shd w:val="clear" w:color="FFFFFF" w:fill="D9D9D9"/>
        </w:rPr>
      </w:pPr>
      <w:r>
        <w:rPr>
          <w:rFonts w:hint="eastAsia"/>
          <w:color w:val="auto"/>
          <w:shd w:val="clear" w:color="FFFFFF" w:fill="D9D9D9"/>
        </w:rPr>
        <w:t>若响应人为联合体，则联合体协议书中各联合体成员单位签名（或盖章）须齐全，要求各联合体成员盖单位公章的，各联合体成员盖章须齐全；联合体协议书以外的响应文件格式中，要求法定代表人或其委托代理人签名（或盖章）的均由联合体牵头人法定代表人或其委托代理人签名（或盖章），要求响应人加盖单位公章的，均由联合体牵头人使用 CA 数字证书加盖其单位电子印章。</w:t>
      </w:r>
    </w:p>
    <w:p w14:paraId="4F1C7DB2">
      <w:pPr>
        <w:ind w:firstLine="420"/>
        <w:rPr>
          <w:color w:val="auto"/>
          <w:shd w:val="clear" w:color="FFFFFF" w:fill="D9D9D9"/>
        </w:rPr>
      </w:pPr>
      <w:r>
        <w:rPr>
          <w:rFonts w:hint="eastAsia"/>
          <w:color w:val="auto"/>
          <w:shd w:val="clear" w:color="FFFFFF" w:fill="D9D9D9"/>
        </w:rPr>
        <w:t>未按上述规定执行的，交由评审委员会作否决响应处理。</w:t>
      </w:r>
    </w:p>
    <w:p w14:paraId="15544401">
      <w:pPr>
        <w:ind w:firstLine="420"/>
        <w:rPr>
          <w:color w:val="auto"/>
          <w:shd w:val="clear" w:color="FFFFFF" w:fill="D9D9D9"/>
        </w:rPr>
      </w:pPr>
      <w:r>
        <w:rPr>
          <w:rFonts w:hint="eastAsia"/>
          <w:color w:val="auto"/>
          <w:shd w:val="clear" w:color="FFFFFF" w:fill="D9D9D9"/>
        </w:rPr>
        <w:t>3.7.4 响应文件份数</w:t>
      </w:r>
    </w:p>
    <w:p w14:paraId="6373686A">
      <w:pPr>
        <w:ind w:firstLine="420"/>
        <w:rPr>
          <w:color w:val="auto"/>
          <w:shd w:val="clear" w:color="FFFFFF" w:fill="D9D9D9"/>
        </w:rPr>
      </w:pPr>
      <w:r>
        <w:rPr>
          <w:rFonts w:hint="eastAsia"/>
          <w:color w:val="auto"/>
          <w:shd w:val="clear" w:color="FFFFFF" w:fill="D9D9D9"/>
        </w:rPr>
        <w:t>本项目采用全流程电子采购，响应人提供的响应文件为：加密的电子响应文件（网上递交）一份。</w:t>
      </w:r>
    </w:p>
    <w:p w14:paraId="3FD34B19">
      <w:pPr>
        <w:ind w:firstLine="420"/>
        <w:rPr>
          <w:color w:val="auto"/>
          <w:shd w:val="clear" w:color="FFFFFF" w:fill="D9D9D9"/>
        </w:rPr>
      </w:pPr>
      <w:r>
        <w:rPr>
          <w:rFonts w:hint="eastAsia"/>
          <w:color w:val="auto"/>
          <w:shd w:val="clear" w:color="FFFFFF" w:fill="D9D9D9"/>
        </w:rPr>
        <w:t>3.7.5 编制要求</w:t>
      </w:r>
    </w:p>
    <w:p w14:paraId="12E8C380">
      <w:pPr>
        <w:ind w:firstLine="420"/>
        <w:rPr>
          <w:color w:val="auto"/>
          <w:shd w:val="clear" w:color="FFFFFF" w:fill="D9D9D9"/>
        </w:rPr>
      </w:pPr>
      <w:r>
        <w:rPr>
          <w:rFonts w:hint="eastAsia"/>
          <w:color w:val="auto"/>
          <w:shd w:val="clear" w:color="FFFFFF" w:fill="D9D9D9"/>
        </w:rPr>
        <w:t>（1）响应文件应按规定格式排版，并编制目录。</w:t>
      </w:r>
    </w:p>
    <w:p w14:paraId="7A6B559A">
      <w:pPr>
        <w:pStyle w:val="43"/>
        <w:ind w:firstLine="420"/>
        <w:rPr>
          <w:color w:val="auto"/>
          <w:shd w:val="clear" w:color="FFFFFF" w:fill="D9D9D9"/>
        </w:rPr>
      </w:pPr>
      <w:r>
        <w:rPr>
          <w:rFonts w:hint="eastAsia"/>
          <w:color w:val="auto"/>
          <w:shd w:val="clear" w:color="FFFFFF" w:fill="D9D9D9"/>
        </w:rPr>
        <w:t>（2）电子响应文件由响应人使用“新点投标文件制作软件（重庆版）”编制工具制作生成。</w:t>
      </w:r>
    </w:p>
    <w:p w14:paraId="2D16E223">
      <w:pPr>
        <w:pStyle w:val="43"/>
        <w:ind w:firstLine="420"/>
        <w:rPr>
          <w:color w:val="auto"/>
          <w:shd w:val="clear" w:color="FFFFFF" w:fill="D9D9D9"/>
        </w:rPr>
      </w:pPr>
      <w:r>
        <w:rPr>
          <w:rFonts w:hint="eastAsia"/>
          <w:color w:val="auto"/>
          <w:shd w:val="clear" w:color="FFFFFF" w:fill="D9D9D9"/>
        </w:rPr>
        <w:t>（3）响应人在编制电子响应文件时原则上应编制目录，但不得将封面设置、目录编制作为评审因素。</w:t>
      </w:r>
    </w:p>
    <w:p w14:paraId="05B48CF8">
      <w:pPr>
        <w:ind w:firstLine="420"/>
        <w:rPr>
          <w:color w:val="auto"/>
          <w:shd w:val="clear" w:color="FFFFFF" w:fill="D9D9D9"/>
        </w:rPr>
      </w:pPr>
      <w:r>
        <w:rPr>
          <w:rFonts w:hint="eastAsia"/>
          <w:color w:val="auto"/>
          <w:shd w:val="clear" w:color="FFFFFF" w:fill="D9D9D9"/>
        </w:rPr>
        <w:t>（4）按本章第 3.7.3 项签名盖章要求进行响应文件的签署。</w:t>
      </w:r>
    </w:p>
    <w:p w14:paraId="40CAAC64">
      <w:pPr>
        <w:pStyle w:val="3"/>
        <w:rPr>
          <w:color w:val="auto"/>
          <w:shd w:val="clear" w:color="FFFFFF" w:fill="D9D9D9"/>
        </w:rPr>
      </w:pPr>
      <w:bookmarkStart w:id="419" w:name="_bookmark47"/>
      <w:bookmarkEnd w:id="419"/>
      <w:bookmarkStart w:id="420" w:name="_bookmark48"/>
      <w:bookmarkEnd w:id="420"/>
      <w:bookmarkStart w:id="421" w:name="_Toc31670"/>
      <w:bookmarkStart w:id="422" w:name="_Toc16764"/>
      <w:bookmarkStart w:id="423" w:name="_Toc17923"/>
      <w:bookmarkStart w:id="424" w:name="_Toc26973"/>
      <w:bookmarkStart w:id="425" w:name="_Toc3330"/>
      <w:bookmarkStart w:id="426" w:name="_Toc6296"/>
      <w:bookmarkStart w:id="427" w:name="_Toc14225"/>
      <w:bookmarkStart w:id="428" w:name="_Toc6101"/>
      <w:bookmarkStart w:id="429" w:name="_Toc9470"/>
      <w:bookmarkStart w:id="430" w:name="_Toc19810"/>
      <w:bookmarkStart w:id="431" w:name="_Toc3668"/>
      <w:r>
        <w:rPr>
          <w:color w:val="auto"/>
          <w:shd w:val="clear" w:color="FFFFFF" w:fill="D9D9D9"/>
        </w:rPr>
        <w:t>4.</w:t>
      </w:r>
      <w:r>
        <w:rPr>
          <w:rFonts w:hint="eastAsia"/>
          <w:color w:val="auto"/>
          <w:shd w:val="clear" w:color="FFFFFF" w:fill="D9D9D9"/>
        </w:rPr>
        <w:t xml:space="preserve"> </w:t>
      </w:r>
      <w:bookmarkEnd w:id="421"/>
      <w:bookmarkEnd w:id="422"/>
      <w:bookmarkEnd w:id="423"/>
      <w:bookmarkEnd w:id="424"/>
      <w:bookmarkEnd w:id="425"/>
      <w:bookmarkEnd w:id="426"/>
      <w:bookmarkEnd w:id="427"/>
      <w:bookmarkEnd w:id="428"/>
      <w:bookmarkEnd w:id="429"/>
      <w:bookmarkEnd w:id="430"/>
      <w:bookmarkEnd w:id="431"/>
      <w:r>
        <w:rPr>
          <w:rFonts w:hint="eastAsia"/>
          <w:color w:val="auto"/>
          <w:shd w:val="clear" w:color="FFFFFF" w:fill="D9D9D9"/>
        </w:rPr>
        <w:t>响应</w:t>
      </w:r>
    </w:p>
    <w:p w14:paraId="178F679C">
      <w:pPr>
        <w:pStyle w:val="4"/>
        <w:ind w:firstLine="422"/>
        <w:rPr>
          <w:color w:val="auto"/>
          <w:shd w:val="clear" w:color="FFFFFF" w:fill="D9D9D9"/>
        </w:rPr>
      </w:pPr>
      <w:bookmarkStart w:id="432" w:name="_Toc15697"/>
      <w:bookmarkStart w:id="433" w:name="_Toc13586"/>
      <w:bookmarkStart w:id="434" w:name="_Toc13147"/>
      <w:bookmarkStart w:id="435" w:name="_Toc25474"/>
      <w:bookmarkStart w:id="436" w:name="_Toc6930"/>
      <w:bookmarkStart w:id="437" w:name="_Toc25296"/>
      <w:r>
        <w:rPr>
          <w:rFonts w:hint="eastAsia"/>
          <w:color w:val="auto"/>
          <w:shd w:val="clear" w:color="FFFFFF" w:fill="D9D9D9"/>
        </w:rPr>
        <w:t>4.1 响应文件的密封和标记</w:t>
      </w:r>
      <w:bookmarkEnd w:id="432"/>
      <w:bookmarkEnd w:id="433"/>
      <w:bookmarkEnd w:id="434"/>
      <w:bookmarkEnd w:id="435"/>
      <w:bookmarkEnd w:id="436"/>
      <w:bookmarkEnd w:id="437"/>
    </w:p>
    <w:p w14:paraId="6D39D1F3">
      <w:pPr>
        <w:ind w:firstLine="420"/>
        <w:rPr>
          <w:color w:val="auto"/>
          <w:shd w:val="clear" w:color="FFFFFF" w:fill="D9D9D9"/>
        </w:rPr>
      </w:pPr>
      <w:r>
        <w:rPr>
          <w:rFonts w:hint="eastAsia"/>
          <w:color w:val="auto"/>
          <w:shd w:val="clear" w:color="FFFFFF" w:fill="D9D9D9"/>
        </w:rPr>
        <w:t>4.1.1 响应文件的密封</w:t>
      </w:r>
    </w:p>
    <w:p w14:paraId="2543C1DF">
      <w:pPr>
        <w:ind w:firstLine="420"/>
        <w:rPr>
          <w:color w:val="auto"/>
          <w:shd w:val="clear" w:color="FFFFFF" w:fill="D9D9D9"/>
        </w:rPr>
      </w:pPr>
      <w:r>
        <w:rPr>
          <w:rFonts w:hint="eastAsia"/>
          <w:color w:val="auto"/>
          <w:shd w:val="clear" w:color="FFFFFF" w:fill="D9D9D9"/>
        </w:rPr>
        <w:t>电子响应文件如未按要求加密，将无法上传至重庆市电子招投标系统。逾期未完成上传响应文件的，视为撤回响应文件。</w:t>
      </w:r>
    </w:p>
    <w:p w14:paraId="1B930160">
      <w:pPr>
        <w:ind w:firstLine="420"/>
        <w:rPr>
          <w:color w:val="auto"/>
          <w:shd w:val="clear" w:color="FFFFFF" w:fill="D9D9D9"/>
        </w:rPr>
      </w:pPr>
      <w:r>
        <w:rPr>
          <w:rFonts w:hint="eastAsia"/>
          <w:color w:val="auto"/>
          <w:shd w:val="clear" w:color="FFFFFF" w:fill="D9D9D9"/>
        </w:rPr>
        <w:t>4.1.2 未按本章第 4.1.1 项要求加密的电子响应文件，将无法上传至重庆市电子招投标系统。</w:t>
      </w:r>
    </w:p>
    <w:p w14:paraId="35C4E13E">
      <w:pPr>
        <w:pStyle w:val="4"/>
        <w:ind w:firstLine="422"/>
        <w:rPr>
          <w:color w:val="auto"/>
          <w:shd w:val="clear" w:color="FFFFFF" w:fill="D9D9D9"/>
        </w:rPr>
      </w:pPr>
      <w:bookmarkStart w:id="438" w:name="_Toc19599"/>
      <w:bookmarkStart w:id="439" w:name="_Toc24631"/>
      <w:bookmarkStart w:id="440" w:name="_Toc3400"/>
      <w:bookmarkStart w:id="441" w:name="_Toc1764"/>
      <w:bookmarkStart w:id="442" w:name="_Toc22600"/>
      <w:bookmarkStart w:id="443" w:name="_Toc9230"/>
      <w:r>
        <w:rPr>
          <w:rFonts w:hint="eastAsia"/>
          <w:color w:val="auto"/>
          <w:shd w:val="clear" w:color="FFFFFF" w:fill="D9D9D9"/>
        </w:rPr>
        <w:t>4.2 响应文件的递交</w:t>
      </w:r>
      <w:bookmarkEnd w:id="438"/>
      <w:bookmarkEnd w:id="439"/>
      <w:bookmarkEnd w:id="440"/>
      <w:bookmarkEnd w:id="441"/>
      <w:bookmarkEnd w:id="442"/>
      <w:bookmarkEnd w:id="443"/>
    </w:p>
    <w:p w14:paraId="40178555">
      <w:pPr>
        <w:ind w:firstLine="420"/>
        <w:rPr>
          <w:color w:val="auto"/>
          <w:shd w:val="clear" w:color="FFFFFF" w:fill="D9D9D9"/>
        </w:rPr>
      </w:pPr>
      <w:r>
        <w:rPr>
          <w:rFonts w:hint="eastAsia"/>
          <w:color w:val="auto"/>
          <w:shd w:val="clear" w:color="FFFFFF" w:fill="D9D9D9"/>
        </w:rPr>
        <w:t>4.2.1 响应人应在询比公告规定的响应截止时间前递交响应文件。</w:t>
      </w:r>
    </w:p>
    <w:p w14:paraId="250C0189">
      <w:pPr>
        <w:ind w:firstLine="420"/>
        <w:rPr>
          <w:color w:val="auto"/>
          <w:shd w:val="clear" w:color="FFFFFF" w:fill="D9D9D9"/>
        </w:rPr>
      </w:pPr>
      <w:r>
        <w:rPr>
          <w:rFonts w:hint="eastAsia"/>
          <w:color w:val="auto"/>
          <w:shd w:val="clear" w:color="FFFFFF" w:fill="D9D9D9"/>
        </w:rPr>
        <w:t>4.2.2 响应人递交响应文件的</w:t>
      </w:r>
      <w:r>
        <w:rPr>
          <w:color w:val="auto"/>
          <w:shd w:val="clear" w:color="FFFFFF" w:fill="D9D9D9"/>
        </w:rPr>
        <w:t>地点</w:t>
      </w:r>
    </w:p>
    <w:p w14:paraId="58E206CA">
      <w:pPr>
        <w:ind w:firstLine="420"/>
        <w:rPr>
          <w:color w:val="auto"/>
          <w:shd w:val="clear" w:color="FFFFFF" w:fill="D9D9D9"/>
        </w:rPr>
      </w:pPr>
      <w:r>
        <w:rPr>
          <w:rFonts w:hint="eastAsia"/>
          <w:color w:val="auto"/>
          <w:shd w:val="clear" w:color="FFFFFF" w:fill="D9D9D9"/>
        </w:rPr>
        <w:t>响应人应当在响应截止时间前，通过互联网使用CA数字证书登录重庆市电子招投标系统，将加密的电子响应文件上传。</w:t>
      </w:r>
    </w:p>
    <w:p w14:paraId="1C11B526">
      <w:pPr>
        <w:ind w:firstLine="420"/>
        <w:rPr>
          <w:color w:val="auto"/>
          <w:shd w:val="clear" w:color="FFFFFF" w:fill="D9D9D9"/>
        </w:rPr>
      </w:pPr>
      <w:r>
        <w:rPr>
          <w:rFonts w:hint="eastAsia"/>
          <w:color w:val="auto"/>
          <w:shd w:val="clear" w:color="FFFFFF" w:fill="D9D9D9"/>
        </w:rPr>
        <w:t>4.2.3 除响应人须知前附表另有规定外，响应人所递交的响应文件不予退还。</w:t>
      </w:r>
    </w:p>
    <w:p w14:paraId="4868643E">
      <w:pPr>
        <w:ind w:firstLine="420"/>
        <w:rPr>
          <w:color w:val="auto"/>
          <w:shd w:val="clear" w:color="FFFFFF" w:fill="D9D9D9"/>
        </w:rPr>
      </w:pPr>
      <w:r>
        <w:rPr>
          <w:rFonts w:hint="eastAsia"/>
          <w:color w:val="auto"/>
          <w:shd w:val="clear" w:color="FFFFFF" w:fill="D9D9D9"/>
        </w:rPr>
        <w:t>4.2.4 响应人完成电子响应文件上传后，重庆市电子招投标系统即时向响应人发出递交回执通知。递交时间以递交回执通知载明的传输完成时间为准。</w:t>
      </w:r>
    </w:p>
    <w:p w14:paraId="42D125C9">
      <w:pPr>
        <w:ind w:firstLine="420"/>
        <w:rPr>
          <w:color w:val="auto"/>
          <w:shd w:val="clear" w:color="FFFFFF" w:fill="D9D9D9"/>
        </w:rPr>
      </w:pPr>
      <w:r>
        <w:rPr>
          <w:rFonts w:hint="eastAsia"/>
          <w:color w:val="auto"/>
          <w:shd w:val="clear" w:color="FFFFFF" w:fill="D9D9D9"/>
        </w:rPr>
        <w:t>4.2.5 逾期送达的响应文件，重庆市电子招投标系统将予以拒收。</w:t>
      </w:r>
    </w:p>
    <w:p w14:paraId="59A18836">
      <w:pPr>
        <w:pStyle w:val="4"/>
        <w:ind w:firstLine="422"/>
        <w:rPr>
          <w:color w:val="auto"/>
          <w:shd w:val="clear" w:color="FFFFFF" w:fill="D9D9D9"/>
        </w:rPr>
      </w:pPr>
      <w:bookmarkStart w:id="444" w:name="_bookmark50"/>
      <w:bookmarkEnd w:id="444"/>
      <w:bookmarkStart w:id="445" w:name="_Toc28442"/>
      <w:bookmarkStart w:id="446" w:name="_Toc19208"/>
      <w:bookmarkStart w:id="447" w:name="_Toc1232"/>
      <w:bookmarkStart w:id="448" w:name="_Toc5175"/>
      <w:bookmarkStart w:id="449" w:name="_Toc30995"/>
      <w:bookmarkStart w:id="450" w:name="_Toc13663"/>
      <w:r>
        <w:rPr>
          <w:rFonts w:hint="eastAsia"/>
          <w:color w:val="auto"/>
          <w:shd w:val="clear" w:color="FFFFFF" w:fill="D9D9D9"/>
        </w:rPr>
        <w:t>4.3 响应文件的修改与撤回</w:t>
      </w:r>
      <w:bookmarkEnd w:id="445"/>
      <w:bookmarkEnd w:id="446"/>
      <w:bookmarkEnd w:id="447"/>
      <w:bookmarkEnd w:id="448"/>
      <w:bookmarkEnd w:id="449"/>
      <w:bookmarkEnd w:id="450"/>
    </w:p>
    <w:p w14:paraId="387E18F9">
      <w:pPr>
        <w:ind w:firstLine="420"/>
        <w:rPr>
          <w:color w:val="auto"/>
          <w:shd w:val="clear" w:color="FFFFFF" w:fill="D9D9D9"/>
        </w:rPr>
      </w:pPr>
      <w:r>
        <w:rPr>
          <w:rFonts w:hint="eastAsia"/>
          <w:color w:val="auto"/>
          <w:shd w:val="clear" w:color="FFFFFF" w:fill="D9D9D9"/>
        </w:rPr>
        <w:t>4.3.1 在询比公告规定的响应截止时间前，响应人可以修改或撤回已递交的响应文件。响应人修改响应文件的，应按照本章第 3.7.3 项的要求重新对响应文件进行电子签章，再按照本章第 4.2 项的要求提交。</w:t>
      </w:r>
    </w:p>
    <w:p w14:paraId="6EF78C51">
      <w:pPr>
        <w:ind w:firstLine="420"/>
        <w:rPr>
          <w:color w:val="auto"/>
          <w:shd w:val="clear" w:color="FFFFFF" w:fill="D9D9D9"/>
        </w:rPr>
      </w:pPr>
      <w:r>
        <w:rPr>
          <w:rFonts w:hint="eastAsia"/>
          <w:color w:val="auto"/>
          <w:shd w:val="clear" w:color="FFFFFF" w:fill="D9D9D9"/>
        </w:rPr>
        <w:t>4.3.2 响应人对加密的电子响应文件进行撤回的，在重庆市电子招投标系统直接进行撤回操作。</w:t>
      </w:r>
    </w:p>
    <w:p w14:paraId="562527D2">
      <w:pPr>
        <w:pStyle w:val="3"/>
        <w:rPr>
          <w:color w:val="auto"/>
          <w:shd w:val="clear" w:color="FFFFFF" w:fill="D9D9D9"/>
        </w:rPr>
      </w:pPr>
      <w:bookmarkStart w:id="451" w:name="_bookmark52"/>
      <w:bookmarkEnd w:id="451"/>
      <w:bookmarkStart w:id="452" w:name="_bookmark51"/>
      <w:bookmarkEnd w:id="452"/>
      <w:bookmarkStart w:id="453" w:name="_Toc7813"/>
      <w:bookmarkStart w:id="454" w:name="_Toc23004"/>
      <w:bookmarkStart w:id="455" w:name="_Toc10856"/>
      <w:bookmarkStart w:id="456" w:name="_Toc26223"/>
      <w:bookmarkStart w:id="457" w:name="_Toc9503"/>
      <w:bookmarkStart w:id="458" w:name="_Toc15866"/>
      <w:bookmarkStart w:id="459" w:name="_Toc27051"/>
      <w:bookmarkStart w:id="460" w:name="_Toc6253"/>
      <w:bookmarkStart w:id="461" w:name="_Toc11414"/>
      <w:bookmarkStart w:id="462" w:name="_Toc12551"/>
      <w:bookmarkStart w:id="463" w:name="_Toc16575"/>
      <w:r>
        <w:rPr>
          <w:color w:val="auto"/>
          <w:shd w:val="clear" w:color="FFFFFF" w:fill="D9D9D9"/>
        </w:rPr>
        <w:t>5.</w:t>
      </w:r>
      <w:r>
        <w:rPr>
          <w:rFonts w:hint="eastAsia"/>
          <w:color w:val="auto"/>
          <w:shd w:val="clear" w:color="FFFFFF" w:fill="D9D9D9"/>
        </w:rPr>
        <w:t xml:space="preserve"> 开标</w:t>
      </w:r>
      <w:bookmarkEnd w:id="453"/>
      <w:bookmarkEnd w:id="454"/>
      <w:bookmarkEnd w:id="455"/>
      <w:bookmarkEnd w:id="456"/>
      <w:bookmarkEnd w:id="457"/>
      <w:bookmarkEnd w:id="458"/>
      <w:bookmarkEnd w:id="459"/>
      <w:bookmarkEnd w:id="460"/>
      <w:bookmarkEnd w:id="461"/>
      <w:bookmarkEnd w:id="462"/>
      <w:bookmarkEnd w:id="463"/>
    </w:p>
    <w:p w14:paraId="4220ED83">
      <w:pPr>
        <w:pStyle w:val="4"/>
        <w:ind w:firstLine="422"/>
        <w:rPr>
          <w:color w:val="auto"/>
          <w:shd w:val="clear" w:color="FFFFFF" w:fill="D9D9D9"/>
        </w:rPr>
      </w:pPr>
      <w:bookmarkStart w:id="464" w:name="_bookmark53"/>
      <w:bookmarkEnd w:id="464"/>
      <w:bookmarkStart w:id="465" w:name="_Toc20982"/>
      <w:bookmarkStart w:id="466" w:name="_Toc19984"/>
      <w:bookmarkStart w:id="467" w:name="_Toc304"/>
      <w:bookmarkStart w:id="468" w:name="_Toc24254"/>
      <w:bookmarkStart w:id="469" w:name="_Toc30565"/>
      <w:bookmarkStart w:id="470" w:name="_Toc11425"/>
      <w:r>
        <w:rPr>
          <w:rFonts w:hint="eastAsia"/>
          <w:color w:val="auto"/>
          <w:shd w:val="clear" w:color="FFFFFF" w:fill="D9D9D9"/>
        </w:rPr>
        <w:t>5.1 开标时间和地点</w:t>
      </w:r>
      <w:bookmarkEnd w:id="465"/>
      <w:bookmarkEnd w:id="466"/>
      <w:bookmarkEnd w:id="467"/>
      <w:bookmarkEnd w:id="468"/>
      <w:bookmarkEnd w:id="469"/>
      <w:bookmarkEnd w:id="470"/>
    </w:p>
    <w:p w14:paraId="74E83A0A">
      <w:pPr>
        <w:ind w:firstLine="420"/>
        <w:rPr>
          <w:color w:val="auto"/>
          <w:shd w:val="clear" w:color="FFFFFF" w:fill="D9D9D9"/>
        </w:rPr>
      </w:pPr>
      <w:r>
        <w:rPr>
          <w:rFonts w:hint="eastAsia"/>
          <w:color w:val="auto"/>
          <w:shd w:val="clear" w:color="FFFFFF" w:fill="D9D9D9"/>
        </w:rPr>
        <w:t>5.1.1 采购人在询比公告规定的响应截止时间（开标时间）和本章第 4.2.2 项规定的地点公开开标，并邀请所有响应人的法定代表人或其委托代理人准时参加。</w:t>
      </w:r>
    </w:p>
    <w:p w14:paraId="09071E82">
      <w:pPr>
        <w:ind w:firstLine="420"/>
        <w:rPr>
          <w:color w:val="auto"/>
          <w:shd w:val="clear" w:color="FFFFFF" w:fill="D9D9D9"/>
        </w:rPr>
      </w:pPr>
      <w:r>
        <w:rPr>
          <w:rFonts w:hint="eastAsia"/>
          <w:color w:val="auto"/>
          <w:shd w:val="clear" w:color="FFFFFF" w:fill="D9D9D9"/>
        </w:rPr>
        <w:t>5.1.2 解密时间</w:t>
      </w:r>
    </w:p>
    <w:p w14:paraId="14AC5463">
      <w:pPr>
        <w:ind w:firstLine="420"/>
        <w:rPr>
          <w:color w:val="auto"/>
          <w:shd w:val="clear" w:color="FFFFFF" w:fill="D9D9D9"/>
        </w:rPr>
      </w:pPr>
      <w:r>
        <w:rPr>
          <w:rFonts w:hint="eastAsia"/>
          <w:color w:val="auto"/>
          <w:shd w:val="clear" w:color="FFFFFF" w:fill="D9D9D9"/>
        </w:rPr>
        <w:t>响应人在响应人须知前附表第 5.1.2 项规定的解密时间内在线或到开标现场完成响应文件解密工作。</w:t>
      </w:r>
    </w:p>
    <w:p w14:paraId="0DA71DDD">
      <w:pPr>
        <w:pStyle w:val="4"/>
        <w:ind w:firstLine="422"/>
        <w:rPr>
          <w:color w:val="auto"/>
          <w:shd w:val="clear" w:color="FFFFFF" w:fill="D9D9D9"/>
        </w:rPr>
      </w:pPr>
      <w:bookmarkStart w:id="471" w:name="_bookmark54"/>
      <w:bookmarkEnd w:id="471"/>
      <w:bookmarkStart w:id="472" w:name="_Toc10329"/>
      <w:bookmarkStart w:id="473" w:name="_Toc14296"/>
      <w:bookmarkStart w:id="474" w:name="_Toc4528"/>
      <w:bookmarkStart w:id="475" w:name="_Toc9559"/>
      <w:bookmarkStart w:id="476" w:name="_Toc30693"/>
      <w:bookmarkStart w:id="477" w:name="_Toc2081"/>
      <w:r>
        <w:rPr>
          <w:rFonts w:hint="eastAsia"/>
          <w:color w:val="auto"/>
          <w:shd w:val="clear" w:color="FFFFFF" w:fill="D9D9D9"/>
        </w:rPr>
        <w:t>5.2 开标程序</w:t>
      </w:r>
      <w:bookmarkEnd w:id="472"/>
      <w:bookmarkEnd w:id="473"/>
      <w:bookmarkEnd w:id="474"/>
      <w:bookmarkEnd w:id="475"/>
      <w:bookmarkEnd w:id="476"/>
      <w:bookmarkEnd w:id="477"/>
    </w:p>
    <w:p w14:paraId="0117D3C4">
      <w:pPr>
        <w:ind w:firstLine="420"/>
        <w:rPr>
          <w:color w:val="auto"/>
          <w:shd w:val="clear" w:color="FFFFFF" w:fill="D9D9D9"/>
        </w:rPr>
      </w:pPr>
      <w:r>
        <w:rPr>
          <w:rFonts w:hint="eastAsia"/>
          <w:color w:val="auto"/>
          <w:shd w:val="clear" w:color="FFFFFF" w:fill="D9D9D9"/>
        </w:rPr>
        <w:t>主持人按下列程序进行开标：</w:t>
      </w:r>
    </w:p>
    <w:p w14:paraId="203E0283">
      <w:pPr>
        <w:ind w:firstLine="420"/>
        <w:rPr>
          <w:color w:val="auto"/>
          <w:shd w:val="clear" w:color="FFFFFF" w:fill="D9D9D9"/>
        </w:rPr>
      </w:pPr>
      <w:r>
        <w:rPr>
          <w:rFonts w:hint="eastAsia"/>
          <w:color w:val="auto"/>
          <w:shd w:val="clear" w:color="FFFFFF" w:fill="D9D9D9"/>
        </w:rPr>
        <w:t>1. 开标时间（应与响应截止时间一致），交易系统自动提取所有在响应截止时间前成功投递的响应文件，系统自动展示响应人数量是否大于（等于）3家，经采购人确认达到法定开标条件的，系统进入开标环节。</w:t>
      </w:r>
    </w:p>
    <w:p w14:paraId="7C111ED2">
      <w:pPr>
        <w:ind w:firstLine="420"/>
        <w:rPr>
          <w:color w:val="auto"/>
          <w:shd w:val="clear" w:color="FFFFFF" w:fill="D9D9D9"/>
        </w:rPr>
      </w:pPr>
      <w:r>
        <w:rPr>
          <w:rFonts w:hint="eastAsia"/>
          <w:color w:val="auto"/>
          <w:shd w:val="clear" w:color="FFFFFF" w:fill="D9D9D9"/>
        </w:rPr>
        <w:t>2. 响应文件提取完成，经采购人确认开始解密环节，响应人在询比文件规定的时间内自行解密其经加密的电子响应文件。</w:t>
      </w:r>
    </w:p>
    <w:p w14:paraId="3C33C963">
      <w:pPr>
        <w:ind w:firstLine="420"/>
        <w:rPr>
          <w:color w:val="auto"/>
          <w:shd w:val="clear" w:color="FFFFFF" w:fill="D9D9D9"/>
        </w:rPr>
      </w:pPr>
      <w:r>
        <w:rPr>
          <w:rFonts w:hint="eastAsia"/>
          <w:color w:val="auto"/>
          <w:shd w:val="clear" w:color="FFFFFF" w:fill="D9D9D9"/>
        </w:rPr>
        <w:t>3. 汇总响应保证金交纳情况（若有）</w:t>
      </w:r>
    </w:p>
    <w:p w14:paraId="11531034">
      <w:pPr>
        <w:ind w:firstLine="420"/>
        <w:rPr>
          <w:color w:val="auto"/>
          <w:shd w:val="clear" w:color="FFFFFF" w:fill="D9D9D9"/>
        </w:rPr>
      </w:pPr>
      <w:r>
        <w:rPr>
          <w:rFonts w:hint="eastAsia"/>
          <w:color w:val="auto"/>
          <w:shd w:val="clear" w:color="FFFFFF" w:fill="D9D9D9"/>
        </w:rPr>
        <w:t>展示以电子转账方式递交响应保证金的保证金交纳情况，应至少包含响应人名称、金额、响应保证金打入指定账户的时间等，异常情况在开标记录表中记录并交由评审委员会评审。</w:t>
      </w:r>
    </w:p>
    <w:p w14:paraId="08ABC3A8">
      <w:pPr>
        <w:ind w:firstLine="420"/>
        <w:rPr>
          <w:color w:val="auto"/>
          <w:shd w:val="clear" w:color="FFFFFF" w:fill="D9D9D9"/>
        </w:rPr>
      </w:pPr>
      <w:r>
        <w:rPr>
          <w:rFonts w:hint="eastAsia"/>
          <w:color w:val="auto"/>
          <w:shd w:val="clear" w:color="FFFFFF" w:fill="D9D9D9"/>
        </w:rPr>
        <w:t>4. 公布开标一览表等内容。</w:t>
      </w:r>
    </w:p>
    <w:p w14:paraId="0E881825">
      <w:pPr>
        <w:ind w:firstLine="420"/>
        <w:rPr>
          <w:color w:val="auto"/>
          <w:shd w:val="clear" w:color="FFFFFF" w:fill="D9D9D9"/>
        </w:rPr>
      </w:pPr>
      <w:r>
        <w:rPr>
          <w:rFonts w:hint="eastAsia"/>
          <w:color w:val="auto"/>
          <w:shd w:val="clear" w:color="FFFFFF" w:fill="D9D9D9"/>
        </w:rPr>
        <w:t>5. 响应人对开标有异议的，应当场或在线提出，由采购人当场或在线答复，并记录到开标记录表中。异议处理完毕后，汇总开标情况，生成开标记录表。</w:t>
      </w:r>
    </w:p>
    <w:p w14:paraId="2A5F91CD">
      <w:pPr>
        <w:ind w:firstLine="420"/>
        <w:rPr>
          <w:color w:val="auto"/>
          <w:shd w:val="clear" w:color="FFFFFF" w:fill="D9D9D9"/>
        </w:rPr>
      </w:pPr>
      <w:r>
        <w:rPr>
          <w:rFonts w:hint="eastAsia"/>
          <w:color w:val="auto"/>
          <w:shd w:val="clear" w:color="FFFFFF" w:fill="D9D9D9"/>
        </w:rPr>
        <w:t>6. 开标结束。</w:t>
      </w:r>
    </w:p>
    <w:p w14:paraId="47E12851">
      <w:pPr>
        <w:pStyle w:val="3"/>
        <w:rPr>
          <w:color w:val="auto"/>
          <w:shd w:val="clear" w:color="FFFFFF" w:fill="D9D9D9"/>
        </w:rPr>
      </w:pPr>
      <w:bookmarkStart w:id="478" w:name="_bookmark57"/>
      <w:bookmarkEnd w:id="478"/>
      <w:bookmarkStart w:id="479" w:name="_bookmark56"/>
      <w:bookmarkEnd w:id="479"/>
      <w:bookmarkStart w:id="480" w:name="_Toc18679"/>
      <w:bookmarkStart w:id="481" w:name="_Toc14150"/>
      <w:bookmarkStart w:id="482" w:name="_Toc31149"/>
      <w:bookmarkStart w:id="483" w:name="_Toc22198"/>
      <w:bookmarkStart w:id="484" w:name="_Toc26161"/>
      <w:bookmarkStart w:id="485" w:name="_Toc20910"/>
      <w:bookmarkStart w:id="486" w:name="_Toc10868"/>
      <w:bookmarkStart w:id="487" w:name="_Toc20895"/>
      <w:bookmarkStart w:id="488" w:name="_Toc24209"/>
      <w:bookmarkStart w:id="489" w:name="_Toc27539"/>
      <w:bookmarkStart w:id="490" w:name="_Toc14067"/>
      <w:r>
        <w:rPr>
          <w:color w:val="auto"/>
          <w:shd w:val="clear" w:color="FFFFFF" w:fill="D9D9D9"/>
        </w:rPr>
        <w:t>6.</w:t>
      </w:r>
      <w:r>
        <w:rPr>
          <w:rFonts w:hint="eastAsia"/>
          <w:color w:val="auto"/>
          <w:shd w:val="clear" w:color="FFFFFF" w:fill="D9D9D9"/>
        </w:rPr>
        <w:t xml:space="preserve"> </w:t>
      </w:r>
      <w:bookmarkEnd w:id="480"/>
      <w:bookmarkEnd w:id="481"/>
      <w:bookmarkEnd w:id="482"/>
      <w:bookmarkEnd w:id="483"/>
      <w:bookmarkEnd w:id="484"/>
      <w:bookmarkEnd w:id="485"/>
      <w:bookmarkEnd w:id="486"/>
      <w:bookmarkEnd w:id="487"/>
      <w:bookmarkEnd w:id="488"/>
      <w:bookmarkEnd w:id="489"/>
      <w:bookmarkEnd w:id="490"/>
      <w:r>
        <w:rPr>
          <w:rFonts w:hint="eastAsia"/>
          <w:color w:val="auto"/>
          <w:shd w:val="clear" w:color="FFFFFF" w:fill="D9D9D9"/>
        </w:rPr>
        <w:t>评审</w:t>
      </w:r>
    </w:p>
    <w:p w14:paraId="02FC87AA">
      <w:pPr>
        <w:pStyle w:val="4"/>
        <w:ind w:firstLine="422"/>
        <w:rPr>
          <w:color w:val="auto"/>
          <w:shd w:val="clear" w:color="FFFFFF" w:fill="D9D9D9"/>
        </w:rPr>
      </w:pPr>
      <w:bookmarkStart w:id="491" w:name="_Toc21142"/>
      <w:bookmarkStart w:id="492" w:name="_Toc21633"/>
      <w:bookmarkStart w:id="493" w:name="_Toc2321"/>
      <w:bookmarkStart w:id="494" w:name="_Toc7058"/>
      <w:bookmarkStart w:id="495" w:name="_Toc15727"/>
      <w:bookmarkStart w:id="496" w:name="_Toc26032"/>
      <w:r>
        <w:rPr>
          <w:rFonts w:hint="eastAsia"/>
          <w:color w:val="auto"/>
          <w:shd w:val="clear" w:color="FFFFFF" w:fill="D9D9D9"/>
        </w:rPr>
        <w:t xml:space="preserve">6.1 </w:t>
      </w:r>
      <w:bookmarkEnd w:id="491"/>
      <w:bookmarkEnd w:id="492"/>
      <w:bookmarkEnd w:id="493"/>
      <w:bookmarkEnd w:id="494"/>
      <w:bookmarkEnd w:id="495"/>
      <w:bookmarkEnd w:id="496"/>
      <w:r>
        <w:rPr>
          <w:rFonts w:hint="eastAsia"/>
          <w:color w:val="auto"/>
          <w:shd w:val="clear" w:color="FFFFFF" w:fill="D9D9D9"/>
        </w:rPr>
        <w:t>评审委员会</w:t>
      </w:r>
    </w:p>
    <w:p w14:paraId="43387610">
      <w:pPr>
        <w:ind w:firstLine="420"/>
        <w:rPr>
          <w:color w:val="auto"/>
          <w:shd w:val="clear" w:color="FFFFFF" w:fill="D9D9D9"/>
        </w:rPr>
      </w:pPr>
      <w:r>
        <w:rPr>
          <w:rFonts w:hint="eastAsia"/>
          <w:color w:val="auto"/>
          <w:shd w:val="clear" w:color="FFFFFF" w:fill="D9D9D9"/>
        </w:rPr>
        <w:t>6.1.1 评审由采购人依法组建的评审委员会负责。评审委员会由采购人或其委托的代理机构熟悉相关业务的代表，以及有关技术、经济等方面的专家组成。评审委员会成员人数以及技术、经济等方面专家的确定方式见响应人须知前附表。</w:t>
      </w:r>
    </w:p>
    <w:p w14:paraId="20B63FAF">
      <w:pPr>
        <w:ind w:firstLine="420"/>
        <w:rPr>
          <w:color w:val="auto"/>
          <w:shd w:val="clear" w:color="FFFFFF" w:fill="D9D9D9"/>
        </w:rPr>
      </w:pPr>
      <w:r>
        <w:rPr>
          <w:rFonts w:hint="eastAsia"/>
          <w:color w:val="auto"/>
          <w:shd w:val="clear" w:color="FFFFFF" w:fill="D9D9D9"/>
        </w:rPr>
        <w:t>6.1.2 评审委员会成员有下列情形之一的，应当回避：</w:t>
      </w:r>
    </w:p>
    <w:p w14:paraId="6CAA3D1F">
      <w:pPr>
        <w:ind w:firstLine="420"/>
        <w:rPr>
          <w:color w:val="auto"/>
          <w:shd w:val="clear" w:color="FFFFFF" w:fill="D9D9D9"/>
        </w:rPr>
      </w:pPr>
      <w:r>
        <w:rPr>
          <w:rFonts w:hint="eastAsia"/>
          <w:color w:val="auto"/>
          <w:shd w:val="clear" w:color="FFFFFF" w:fill="D9D9D9"/>
        </w:rPr>
        <w:t>（1）响应人或响应人主要负责人的近亲属；</w:t>
      </w:r>
    </w:p>
    <w:p w14:paraId="4C2DA819">
      <w:pPr>
        <w:ind w:firstLine="420"/>
        <w:rPr>
          <w:color w:val="auto"/>
          <w:shd w:val="clear" w:color="FFFFFF" w:fill="D9D9D9"/>
        </w:rPr>
      </w:pPr>
      <w:r>
        <w:rPr>
          <w:rFonts w:hint="eastAsia"/>
          <w:color w:val="auto"/>
          <w:shd w:val="clear" w:color="FFFFFF" w:fill="D9D9D9"/>
        </w:rPr>
        <w:t>（2）与响应人有经济利益关系，可能影响对公正评审的；</w:t>
      </w:r>
    </w:p>
    <w:p w14:paraId="63143F7E">
      <w:pPr>
        <w:ind w:firstLine="420"/>
        <w:rPr>
          <w:color w:val="auto"/>
          <w:shd w:val="clear" w:color="FFFFFF" w:fill="D9D9D9"/>
        </w:rPr>
      </w:pPr>
      <w:r>
        <w:rPr>
          <w:rFonts w:hint="eastAsia"/>
          <w:color w:val="auto"/>
          <w:shd w:val="clear" w:color="FFFFFF" w:fill="D9D9D9"/>
        </w:rPr>
        <w:t>（3）曾因在招标、评标以及其他与招标投标有关活动中从事违法行为而受过行政处罚 或刑事处罚的；</w:t>
      </w:r>
    </w:p>
    <w:p w14:paraId="401F79A9">
      <w:pPr>
        <w:ind w:firstLine="420"/>
        <w:rPr>
          <w:color w:val="auto"/>
          <w:shd w:val="clear" w:color="FFFFFF" w:fill="D9D9D9"/>
        </w:rPr>
      </w:pPr>
      <w:r>
        <w:rPr>
          <w:rFonts w:hint="eastAsia"/>
          <w:color w:val="auto"/>
          <w:shd w:val="clear" w:color="FFFFFF" w:fill="D9D9D9"/>
        </w:rPr>
        <w:t>（4）与响应人有其他利害关系。</w:t>
      </w:r>
    </w:p>
    <w:p w14:paraId="172542C5">
      <w:pPr>
        <w:ind w:firstLine="420"/>
        <w:rPr>
          <w:color w:val="auto"/>
          <w:shd w:val="clear" w:color="FFFFFF" w:fill="D9D9D9"/>
        </w:rPr>
      </w:pPr>
      <w:r>
        <w:rPr>
          <w:rFonts w:hint="eastAsia"/>
          <w:color w:val="auto"/>
          <w:shd w:val="clear" w:color="FFFFFF" w:fill="D9D9D9"/>
        </w:rPr>
        <w:t>6.1.3 评审过程中，评审委员会成员有回避事由、擅离职守或者因健康等原因不能继续评审的，采购人有权更换。被更换的评审委员会成员作出的评审结论无效，由更换后的</w:t>
      </w:r>
      <w:bookmarkStart w:id="497" w:name="_bookmark58"/>
      <w:bookmarkEnd w:id="497"/>
      <w:r>
        <w:rPr>
          <w:rFonts w:hint="eastAsia"/>
          <w:color w:val="auto"/>
          <w:shd w:val="clear" w:color="FFFFFF" w:fill="D9D9D9"/>
        </w:rPr>
        <w:t>评审委员会成员重新进行评审。</w:t>
      </w:r>
    </w:p>
    <w:p w14:paraId="1F0DF9F9">
      <w:pPr>
        <w:pStyle w:val="4"/>
        <w:ind w:firstLine="422"/>
        <w:rPr>
          <w:color w:val="auto"/>
          <w:shd w:val="clear" w:color="FFFFFF" w:fill="D9D9D9"/>
        </w:rPr>
      </w:pPr>
      <w:bookmarkStart w:id="498" w:name="_Toc30262"/>
      <w:bookmarkStart w:id="499" w:name="_Toc29788"/>
      <w:bookmarkStart w:id="500" w:name="_Toc30331"/>
      <w:bookmarkStart w:id="501" w:name="_Toc819"/>
      <w:bookmarkStart w:id="502" w:name="_Toc15419"/>
      <w:bookmarkStart w:id="503" w:name="_Toc17489"/>
      <w:r>
        <w:rPr>
          <w:rFonts w:hint="eastAsia"/>
          <w:color w:val="auto"/>
          <w:shd w:val="clear" w:color="FFFFFF" w:fill="D9D9D9"/>
        </w:rPr>
        <w:t>6.2 评审原则</w:t>
      </w:r>
      <w:bookmarkEnd w:id="498"/>
      <w:bookmarkEnd w:id="499"/>
      <w:bookmarkEnd w:id="500"/>
      <w:bookmarkEnd w:id="501"/>
      <w:bookmarkEnd w:id="502"/>
      <w:bookmarkEnd w:id="503"/>
    </w:p>
    <w:p w14:paraId="6737CC13">
      <w:pPr>
        <w:ind w:firstLine="420"/>
        <w:rPr>
          <w:color w:val="auto"/>
          <w:shd w:val="clear" w:color="FFFFFF" w:fill="D9D9D9"/>
        </w:rPr>
      </w:pPr>
      <w:r>
        <w:rPr>
          <w:rFonts w:hint="eastAsia"/>
          <w:color w:val="auto"/>
          <w:shd w:val="clear" w:color="FFFFFF" w:fill="D9D9D9"/>
        </w:rPr>
        <w:t>评审活动遵循公平、公正、科学和择优的原则。</w:t>
      </w:r>
    </w:p>
    <w:p w14:paraId="10C505B9">
      <w:pPr>
        <w:pStyle w:val="4"/>
        <w:ind w:firstLine="422"/>
        <w:rPr>
          <w:color w:val="auto"/>
          <w:shd w:val="clear" w:color="FFFFFF" w:fill="D9D9D9"/>
        </w:rPr>
      </w:pPr>
      <w:bookmarkStart w:id="504" w:name="_bookmark59"/>
      <w:bookmarkEnd w:id="504"/>
      <w:bookmarkStart w:id="505" w:name="_Toc4172"/>
      <w:bookmarkStart w:id="506" w:name="_Toc14381"/>
      <w:bookmarkStart w:id="507" w:name="_Toc19334"/>
      <w:bookmarkStart w:id="508" w:name="_Toc30364"/>
      <w:bookmarkStart w:id="509" w:name="_Toc12132"/>
      <w:bookmarkStart w:id="510" w:name="_Toc18425"/>
      <w:r>
        <w:rPr>
          <w:rFonts w:hint="eastAsia"/>
          <w:color w:val="auto"/>
          <w:shd w:val="clear" w:color="FFFFFF" w:fill="D9D9D9"/>
        </w:rPr>
        <w:t xml:space="preserve">6.3 </w:t>
      </w:r>
      <w:bookmarkEnd w:id="505"/>
      <w:bookmarkEnd w:id="506"/>
      <w:bookmarkEnd w:id="507"/>
      <w:bookmarkEnd w:id="508"/>
      <w:bookmarkEnd w:id="509"/>
      <w:bookmarkEnd w:id="510"/>
      <w:r>
        <w:rPr>
          <w:rFonts w:hint="eastAsia"/>
          <w:color w:val="auto"/>
          <w:shd w:val="clear" w:color="FFFFFF" w:fill="D9D9D9"/>
        </w:rPr>
        <w:t>评审</w:t>
      </w:r>
    </w:p>
    <w:p w14:paraId="78BE0FC3">
      <w:pPr>
        <w:ind w:firstLine="420"/>
        <w:rPr>
          <w:color w:val="auto"/>
          <w:shd w:val="clear" w:color="FFFFFF" w:fill="D9D9D9"/>
        </w:rPr>
      </w:pPr>
      <w:r>
        <w:rPr>
          <w:rFonts w:hint="eastAsia"/>
          <w:color w:val="auto"/>
          <w:shd w:val="clear" w:color="FFFFFF" w:fill="D9D9D9"/>
        </w:rPr>
        <w:t>评审委员会按照第三章“评审办法”规定的方法、评审因素、标准和程序对响应文件进行评审。第三章“评审办法”没有规定的方法、评审因素和标准，不作为评审依据。</w:t>
      </w:r>
    </w:p>
    <w:p w14:paraId="656EDB85">
      <w:pPr>
        <w:pStyle w:val="3"/>
        <w:rPr>
          <w:color w:val="auto"/>
          <w:shd w:val="clear" w:color="FFFFFF" w:fill="D9D9D9"/>
        </w:rPr>
      </w:pPr>
      <w:bookmarkStart w:id="511" w:name="_Toc21056"/>
      <w:bookmarkStart w:id="512" w:name="_Toc31744"/>
      <w:bookmarkStart w:id="513" w:name="_Toc4675"/>
      <w:bookmarkStart w:id="514" w:name="_Toc4795"/>
      <w:bookmarkStart w:id="515" w:name="_Toc29641"/>
      <w:bookmarkStart w:id="516" w:name="_Toc28008"/>
      <w:bookmarkStart w:id="517" w:name="_Toc19570"/>
      <w:bookmarkStart w:id="518" w:name="_Toc26406"/>
      <w:bookmarkStart w:id="519" w:name="_Toc14246"/>
      <w:bookmarkStart w:id="520" w:name="_Toc16020"/>
      <w:bookmarkStart w:id="521" w:name="_Toc11507"/>
      <w:r>
        <w:rPr>
          <w:color w:val="auto"/>
          <w:shd w:val="clear" w:color="FFFFFF" w:fill="D9D9D9"/>
        </w:rPr>
        <w:t>7.</w:t>
      </w:r>
      <w:r>
        <w:rPr>
          <w:rFonts w:hint="eastAsia"/>
          <w:color w:val="auto"/>
          <w:shd w:val="clear" w:color="FFFFFF" w:fill="D9D9D9"/>
        </w:rPr>
        <w:t xml:space="preserve"> 合同授予</w:t>
      </w:r>
      <w:bookmarkEnd w:id="511"/>
      <w:bookmarkEnd w:id="512"/>
      <w:bookmarkEnd w:id="513"/>
      <w:bookmarkEnd w:id="514"/>
      <w:bookmarkEnd w:id="515"/>
      <w:bookmarkEnd w:id="516"/>
      <w:bookmarkEnd w:id="517"/>
      <w:bookmarkEnd w:id="518"/>
      <w:bookmarkEnd w:id="519"/>
      <w:bookmarkEnd w:id="520"/>
      <w:bookmarkEnd w:id="521"/>
    </w:p>
    <w:p w14:paraId="0B3A484A">
      <w:pPr>
        <w:pStyle w:val="4"/>
        <w:ind w:firstLine="422"/>
        <w:rPr>
          <w:color w:val="auto"/>
          <w:shd w:val="clear" w:color="FFFFFF" w:fill="D9D9D9"/>
        </w:rPr>
      </w:pPr>
      <w:bookmarkStart w:id="522" w:name="_Toc246996211"/>
      <w:bookmarkStart w:id="523" w:name="_Toc30960"/>
      <w:bookmarkStart w:id="524" w:name="_Toc152042343"/>
      <w:bookmarkStart w:id="525" w:name="_Toc21573"/>
      <w:bookmarkStart w:id="526" w:name="_Toc549"/>
      <w:bookmarkStart w:id="527" w:name="_Toc6944"/>
      <w:bookmarkStart w:id="528" w:name="_Toc22070"/>
      <w:bookmarkStart w:id="529" w:name="_Toc246996954"/>
      <w:bookmarkStart w:id="530" w:name="_Toc247085725"/>
      <w:bookmarkStart w:id="531" w:name="_Toc296602456"/>
      <w:bookmarkStart w:id="532" w:name="_Toc179632585"/>
      <w:bookmarkStart w:id="533" w:name="_Toc16559"/>
      <w:bookmarkStart w:id="534" w:name="_Toc152045567"/>
      <w:bookmarkStart w:id="535" w:name="_Toc144974535"/>
      <w:r>
        <w:rPr>
          <w:rFonts w:hint="eastAsia"/>
          <w:color w:val="auto"/>
          <w:shd w:val="clear" w:color="FFFFFF" w:fill="D9D9D9"/>
        </w:rPr>
        <w:t>7.1 定标方式</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477818B2">
      <w:pPr>
        <w:ind w:firstLine="420"/>
        <w:rPr>
          <w:color w:val="auto"/>
          <w:shd w:val="clear" w:color="FFFFFF" w:fill="D9D9D9"/>
        </w:rPr>
      </w:pPr>
      <w:r>
        <w:rPr>
          <w:rFonts w:hint="eastAsia"/>
          <w:color w:val="auto"/>
          <w:shd w:val="clear" w:color="FFFFFF" w:fill="D9D9D9"/>
        </w:rPr>
        <w:t>详见响应人须知前附表。</w:t>
      </w:r>
    </w:p>
    <w:p w14:paraId="5AD246DB">
      <w:pPr>
        <w:pStyle w:val="4"/>
        <w:ind w:firstLine="422"/>
        <w:rPr>
          <w:color w:val="auto"/>
          <w:shd w:val="clear" w:color="FFFFFF" w:fill="D9D9D9"/>
        </w:rPr>
      </w:pPr>
      <w:bookmarkStart w:id="536" w:name="_Toc868"/>
      <w:bookmarkStart w:id="537" w:name="_Toc6841"/>
      <w:bookmarkStart w:id="538" w:name="_Toc31599"/>
      <w:bookmarkStart w:id="539" w:name="_Toc11154"/>
      <w:bookmarkStart w:id="540" w:name="_Toc28926"/>
      <w:bookmarkStart w:id="541" w:name="_Toc17761"/>
      <w:bookmarkStart w:id="542" w:name="_Toc296602457"/>
      <w:r>
        <w:rPr>
          <w:rFonts w:hint="eastAsia"/>
          <w:color w:val="auto"/>
          <w:shd w:val="clear" w:color="FFFFFF" w:fill="D9D9D9"/>
        </w:rPr>
        <w:t>7.2 成交结果公示</w:t>
      </w:r>
      <w:bookmarkEnd w:id="536"/>
      <w:bookmarkEnd w:id="537"/>
      <w:bookmarkEnd w:id="538"/>
      <w:bookmarkEnd w:id="539"/>
      <w:bookmarkEnd w:id="540"/>
      <w:bookmarkEnd w:id="541"/>
      <w:bookmarkEnd w:id="542"/>
    </w:p>
    <w:p w14:paraId="48F6BAB0">
      <w:pPr>
        <w:ind w:firstLine="420"/>
        <w:rPr>
          <w:color w:val="auto"/>
          <w:shd w:val="clear" w:color="FFFFFF" w:fill="D9D9D9"/>
        </w:rPr>
      </w:pPr>
      <w:r>
        <w:rPr>
          <w:rFonts w:hint="eastAsia"/>
          <w:color w:val="auto"/>
          <w:shd w:val="clear" w:color="FFFFFF" w:fill="D9D9D9"/>
        </w:rPr>
        <w:t>采购人在响应人须知前附表规定的媒介公示成交结果。</w:t>
      </w:r>
    </w:p>
    <w:p w14:paraId="100D397E">
      <w:pPr>
        <w:ind w:firstLine="420"/>
        <w:rPr>
          <w:color w:val="auto"/>
          <w:shd w:val="clear" w:color="FFFFFF" w:fill="D9D9D9"/>
        </w:rPr>
      </w:pPr>
      <w:r>
        <w:rPr>
          <w:rFonts w:hint="eastAsia"/>
          <w:color w:val="auto"/>
          <w:shd w:val="clear" w:color="FFFFFF" w:fill="D9D9D9"/>
        </w:rPr>
        <w:t>响应人对公示的成交结果有异议，响应人需在公示期内以书面形式向采购人提出异议。采购人认为有必要对响应人所提异议进行回复时，将以书面形式进行回复。</w:t>
      </w:r>
    </w:p>
    <w:p w14:paraId="6EA64D21">
      <w:pPr>
        <w:ind w:firstLine="420"/>
        <w:rPr>
          <w:color w:val="auto"/>
          <w:shd w:val="clear" w:color="FFFFFF" w:fill="D9D9D9"/>
        </w:rPr>
      </w:pPr>
      <w:r>
        <w:rPr>
          <w:rFonts w:hint="eastAsia"/>
          <w:color w:val="auto"/>
          <w:shd w:val="clear" w:color="FFFFFF" w:fill="D9D9D9"/>
        </w:rPr>
        <w:t>异议邮箱：</w:t>
      </w:r>
      <w:r>
        <w:rPr>
          <w:color w:val="auto"/>
          <w:shd w:val="clear" w:color="FFFFFF" w:fill="D9D9D9"/>
        </w:rPr>
        <w:t>sx.jcb@ccqtgb.com</w:t>
      </w:r>
    </w:p>
    <w:p w14:paraId="3D0B5923">
      <w:pPr>
        <w:pStyle w:val="4"/>
        <w:ind w:firstLine="422"/>
        <w:rPr>
          <w:color w:val="auto"/>
          <w:shd w:val="clear" w:color="FFFFFF" w:fill="D9D9D9"/>
        </w:rPr>
      </w:pPr>
      <w:bookmarkStart w:id="543" w:name="_Toc24709"/>
      <w:bookmarkStart w:id="544" w:name="_Toc246996955"/>
      <w:bookmarkStart w:id="545" w:name="_Toc15676"/>
      <w:bookmarkStart w:id="546" w:name="_Toc11823"/>
      <w:bookmarkStart w:id="547" w:name="_Toc144974536"/>
      <w:bookmarkStart w:id="548" w:name="_Toc296602458"/>
      <w:bookmarkStart w:id="549" w:name="_Toc3555"/>
      <w:bookmarkStart w:id="550" w:name="_Toc179632586"/>
      <w:bookmarkStart w:id="551" w:name="_Toc246996212"/>
      <w:bookmarkStart w:id="552" w:name="_Toc152042344"/>
      <w:bookmarkStart w:id="553" w:name="_Toc247085726"/>
      <w:bookmarkStart w:id="554" w:name="_Toc26895"/>
      <w:bookmarkStart w:id="555" w:name="_Toc32208"/>
      <w:bookmarkStart w:id="556" w:name="_Toc152045568"/>
      <w:r>
        <w:rPr>
          <w:rFonts w:hint="eastAsia"/>
          <w:color w:val="auto"/>
          <w:shd w:val="clear" w:color="FFFFFF" w:fill="D9D9D9"/>
        </w:rPr>
        <w:t>7.3 成交通知</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00152454">
      <w:pPr>
        <w:ind w:firstLine="420"/>
        <w:rPr>
          <w:color w:val="auto"/>
          <w:shd w:val="clear" w:color="FFFFFF" w:fill="D9D9D9"/>
        </w:rPr>
      </w:pPr>
      <w:r>
        <w:rPr>
          <w:rFonts w:hint="eastAsia"/>
          <w:color w:val="auto"/>
          <w:shd w:val="clear" w:color="FFFFFF" w:fill="D9D9D9"/>
        </w:rPr>
        <w:t>在本章第 3.3 项规定的响应有效期内，采购人以书面形式向成交供应商发出成交通知书，同时将成交结果通知未成交的响应人。</w:t>
      </w:r>
    </w:p>
    <w:p w14:paraId="3B43D937">
      <w:pPr>
        <w:pStyle w:val="4"/>
        <w:ind w:firstLine="422"/>
        <w:rPr>
          <w:color w:val="auto"/>
          <w:shd w:val="clear" w:color="FFFFFF" w:fill="D9D9D9"/>
        </w:rPr>
      </w:pPr>
      <w:bookmarkStart w:id="557" w:name="_Toc247085727"/>
      <w:bookmarkStart w:id="558" w:name="_Toc144974537"/>
      <w:bookmarkStart w:id="559" w:name="_Toc2420"/>
      <w:bookmarkStart w:id="560" w:name="_Toc21429"/>
      <w:bookmarkStart w:id="561" w:name="_Toc246996213"/>
      <w:bookmarkStart w:id="562" w:name="_Toc246996956"/>
      <w:bookmarkStart w:id="563" w:name="_Toc179632587"/>
      <w:bookmarkStart w:id="564" w:name="_Toc11699"/>
      <w:bookmarkStart w:id="565" w:name="_Toc32063"/>
      <w:bookmarkStart w:id="566" w:name="_Toc152042345"/>
      <w:bookmarkStart w:id="567" w:name="_Toc22085"/>
      <w:bookmarkStart w:id="568" w:name="_Toc28380"/>
      <w:bookmarkStart w:id="569" w:name="_Toc152045569"/>
      <w:bookmarkStart w:id="570" w:name="_Toc296602459"/>
      <w:r>
        <w:rPr>
          <w:rFonts w:hint="eastAsia"/>
          <w:color w:val="auto"/>
          <w:shd w:val="clear" w:color="FFFFFF" w:fill="D9D9D9"/>
        </w:rPr>
        <w:t>7.4 履约担保</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48979A00">
      <w:pPr>
        <w:ind w:firstLine="420"/>
        <w:rPr>
          <w:color w:val="auto"/>
          <w:shd w:val="clear" w:color="FFFFFF" w:fill="D9D9D9"/>
        </w:rPr>
      </w:pPr>
      <w:r>
        <w:rPr>
          <w:rFonts w:hint="eastAsia"/>
          <w:color w:val="auto"/>
          <w:shd w:val="clear" w:color="FFFFFF" w:fill="D9D9D9"/>
        </w:rPr>
        <w:t>7.4.1 在签订合同前，成交供应商应按询比文件第四章“合同条款及格式”规定的或者事先经过采购人书面认可的履约担保</w:t>
      </w:r>
      <w:r>
        <w:rPr>
          <w:color w:val="auto"/>
          <w:shd w:val="clear" w:color="FFFFFF" w:fill="D9D9D9"/>
        </w:rPr>
        <w:t>方式</w:t>
      </w:r>
      <w:r>
        <w:rPr>
          <w:rFonts w:hint="eastAsia"/>
          <w:color w:val="auto"/>
          <w:shd w:val="clear" w:color="FFFFFF" w:fill="D9D9D9"/>
        </w:rPr>
        <w:t>向采购人提交履约担保。</w:t>
      </w:r>
    </w:p>
    <w:p w14:paraId="3E3917EC">
      <w:pPr>
        <w:ind w:firstLine="420"/>
        <w:rPr>
          <w:color w:val="auto"/>
          <w:shd w:val="clear" w:color="FFFFFF" w:fill="D9D9D9"/>
        </w:rPr>
      </w:pPr>
      <w:r>
        <w:rPr>
          <w:rFonts w:hint="eastAsia"/>
          <w:color w:val="auto"/>
          <w:shd w:val="clear" w:color="FFFFFF" w:fill="D9D9D9"/>
        </w:rPr>
        <w:t>7.4.2 成交供应商不能按本章第 7.4.1 项要求提交履约担保的，视为放弃成交，其响应保证金不予退还，给采购人造成的损失超过响应保证金数额的，成交供应商还应当对超过部分予以赔偿。</w:t>
      </w:r>
    </w:p>
    <w:p w14:paraId="6B448A60">
      <w:pPr>
        <w:pStyle w:val="4"/>
        <w:ind w:firstLine="422"/>
        <w:rPr>
          <w:color w:val="auto"/>
          <w:shd w:val="clear" w:color="FFFFFF" w:fill="D9D9D9"/>
        </w:rPr>
      </w:pPr>
      <w:bookmarkStart w:id="571" w:name="_Toc152045570"/>
      <w:bookmarkStart w:id="572" w:name="_Toc22348"/>
      <w:bookmarkStart w:id="573" w:name="_Toc247085728"/>
      <w:bookmarkStart w:id="574" w:name="_Toc15270"/>
      <w:bookmarkStart w:id="575" w:name="_Toc16659"/>
      <w:bookmarkStart w:id="576" w:name="_Toc246996957"/>
      <w:bookmarkStart w:id="577" w:name="_Toc152042346"/>
      <w:bookmarkStart w:id="578" w:name="_Toc7074"/>
      <w:bookmarkStart w:id="579" w:name="_Toc246996214"/>
      <w:bookmarkStart w:id="580" w:name="_Toc8315"/>
      <w:bookmarkStart w:id="581" w:name="_Toc144974538"/>
      <w:bookmarkStart w:id="582" w:name="_Toc179632588"/>
      <w:bookmarkStart w:id="583" w:name="_Toc1934"/>
      <w:bookmarkStart w:id="584" w:name="_Toc296602460"/>
      <w:r>
        <w:rPr>
          <w:rFonts w:hint="eastAsia"/>
          <w:color w:val="auto"/>
          <w:shd w:val="clear" w:color="FFFFFF" w:fill="D9D9D9"/>
        </w:rPr>
        <w:t>7.5 签订合同</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3878A276">
      <w:pPr>
        <w:ind w:firstLine="420"/>
        <w:rPr>
          <w:color w:val="auto"/>
          <w:shd w:val="clear" w:color="FFFFFF" w:fill="D9D9D9"/>
        </w:rPr>
      </w:pPr>
      <w:r>
        <w:rPr>
          <w:rFonts w:hint="eastAsia"/>
          <w:color w:val="auto"/>
          <w:shd w:val="clear" w:color="FFFFFF" w:fill="D9D9D9"/>
        </w:rPr>
        <w:t>7.5.1 成交供应商应当在成交通知书发出之日起，根据成交通知书要求，在规定时间内与采购人对接，并根据询比文件和成交供应商的响应文件订立书面合同。</w:t>
      </w:r>
    </w:p>
    <w:p w14:paraId="783C7E5E">
      <w:pPr>
        <w:ind w:firstLine="420"/>
        <w:rPr>
          <w:color w:val="auto"/>
          <w:shd w:val="clear" w:color="FFFFFF" w:fill="D9D9D9"/>
        </w:rPr>
      </w:pPr>
      <w:r>
        <w:rPr>
          <w:rFonts w:hint="eastAsia"/>
          <w:color w:val="auto"/>
          <w:shd w:val="clear" w:color="FFFFFF" w:fill="D9D9D9"/>
        </w:rPr>
        <w:t>7.5.2 成交供应商无正当理由拒签合同的，且经采购人书面通知后仍不按照通知要求签订合同的，采购人取消其成交资格，其响应保证金不予退还；给采购人造成的损失超过响应保证金数额的，成交供应商还应当对超过部分予以赔偿。</w:t>
      </w:r>
    </w:p>
    <w:p w14:paraId="6C5FFB8A">
      <w:pPr>
        <w:ind w:firstLine="420"/>
        <w:rPr>
          <w:color w:val="auto"/>
          <w:shd w:val="clear" w:color="FFFFFF" w:fill="D9D9D9"/>
        </w:rPr>
      </w:pPr>
      <w:r>
        <w:rPr>
          <w:rFonts w:hint="eastAsia"/>
          <w:color w:val="auto"/>
          <w:shd w:val="clear" w:color="FFFFFF" w:fill="D9D9D9"/>
        </w:rPr>
        <w:t>7.5.3 发出成交通知书后，采购人无正当理由拒签合同的，采购人向成交供应商退还响应保证金；给成交供应商造成损失的，还应当赔偿损失。</w:t>
      </w:r>
    </w:p>
    <w:p w14:paraId="136C612F">
      <w:pPr>
        <w:ind w:firstLine="420"/>
        <w:rPr>
          <w:color w:val="auto"/>
          <w:shd w:val="clear" w:color="FFFFFF" w:fill="D9D9D9"/>
        </w:rPr>
      </w:pPr>
      <w:r>
        <w:rPr>
          <w:rFonts w:hint="eastAsia"/>
          <w:color w:val="auto"/>
          <w:shd w:val="clear" w:color="FFFFFF" w:fill="D9D9D9"/>
        </w:rPr>
        <w:t>7.5.4 如成交供应商因下述原因导致无法履约或签订合同。采购人可以重新采购或顺延下一排名成为成交供应商：</w:t>
      </w:r>
    </w:p>
    <w:p w14:paraId="4EC3E5D6">
      <w:pPr>
        <w:ind w:firstLine="420"/>
        <w:rPr>
          <w:color w:val="auto"/>
          <w:shd w:val="clear" w:color="FFFFFF" w:fill="D9D9D9"/>
        </w:rPr>
      </w:pPr>
      <w:r>
        <w:rPr>
          <w:rFonts w:hint="eastAsia"/>
          <w:color w:val="auto"/>
          <w:shd w:val="clear" w:color="FFFFFF" w:fill="D9D9D9"/>
        </w:rPr>
        <w:t>（1）成交供应商出现本章第 7.5.2 项的情形；</w:t>
      </w:r>
    </w:p>
    <w:p w14:paraId="724508BA">
      <w:pPr>
        <w:ind w:firstLine="420"/>
        <w:rPr>
          <w:color w:val="auto"/>
          <w:shd w:val="clear" w:color="FFFFFF" w:fill="D9D9D9"/>
        </w:rPr>
      </w:pPr>
      <w:r>
        <w:rPr>
          <w:rFonts w:hint="eastAsia"/>
          <w:color w:val="auto"/>
          <w:shd w:val="clear" w:color="FFFFFF" w:fill="D9D9D9"/>
        </w:rPr>
        <w:t>（2）成交供应商在签订合同时向采购人提出附加条件，或者不按照询比文件要求提交履约保证金；</w:t>
      </w:r>
    </w:p>
    <w:p w14:paraId="37DBCA12">
      <w:pPr>
        <w:ind w:firstLine="420"/>
        <w:rPr>
          <w:color w:val="auto"/>
          <w:shd w:val="clear" w:color="FFFFFF" w:fill="D9D9D9"/>
        </w:rPr>
      </w:pPr>
      <w:r>
        <w:rPr>
          <w:rFonts w:hint="eastAsia"/>
          <w:color w:val="auto"/>
          <w:shd w:val="clear" w:color="FFFFFF" w:fill="D9D9D9"/>
        </w:rPr>
        <w:t>（3）成交供应商不能按本章第 7.4.1 项要求提交履约担保的；</w:t>
      </w:r>
    </w:p>
    <w:p w14:paraId="5BFAB88C">
      <w:pPr>
        <w:ind w:firstLine="420"/>
        <w:rPr>
          <w:color w:val="auto"/>
          <w:shd w:val="clear" w:color="FFFFFF" w:fill="D9D9D9"/>
        </w:rPr>
      </w:pPr>
      <w:r>
        <w:rPr>
          <w:rFonts w:hint="eastAsia"/>
          <w:color w:val="auto"/>
          <w:shd w:val="clear" w:color="FFFFFF" w:fill="D9D9D9"/>
        </w:rPr>
        <w:t>（4）成交供应商因自身原因不能履行合同；</w:t>
      </w:r>
    </w:p>
    <w:p w14:paraId="2C8B7909">
      <w:pPr>
        <w:ind w:firstLine="420"/>
        <w:rPr>
          <w:color w:val="auto"/>
          <w:shd w:val="clear" w:color="FFFFFF" w:fill="D9D9D9"/>
        </w:rPr>
      </w:pPr>
      <w:r>
        <w:rPr>
          <w:rFonts w:hint="eastAsia"/>
          <w:color w:val="auto"/>
          <w:shd w:val="clear" w:color="FFFFFF" w:fill="D9D9D9"/>
        </w:rPr>
        <w:t>（5）成交供应商响应材料出现造假、不实等与实际查询结果不符或无故弃选的情况；</w:t>
      </w:r>
    </w:p>
    <w:p w14:paraId="70261BEA">
      <w:pPr>
        <w:ind w:firstLine="420"/>
        <w:rPr>
          <w:color w:val="auto"/>
          <w:shd w:val="clear" w:color="FFFFFF" w:fill="D9D9D9"/>
        </w:rPr>
      </w:pPr>
      <w:r>
        <w:rPr>
          <w:rFonts w:hint="eastAsia"/>
          <w:color w:val="auto"/>
          <w:shd w:val="clear" w:color="FFFFFF" w:fill="D9D9D9"/>
        </w:rPr>
        <w:t>（6）采购人</w:t>
      </w:r>
      <w:r>
        <w:rPr>
          <w:color w:val="auto"/>
          <w:shd w:val="clear" w:color="FFFFFF" w:fill="D9D9D9"/>
        </w:rPr>
        <w:t>发现</w:t>
      </w:r>
      <w:r>
        <w:rPr>
          <w:rFonts w:hint="eastAsia"/>
          <w:color w:val="auto"/>
          <w:shd w:val="clear" w:color="FFFFFF" w:fill="D9D9D9"/>
        </w:rPr>
        <w:t>成交供应商有</w:t>
      </w:r>
      <w:r>
        <w:rPr>
          <w:color w:val="auto"/>
          <w:shd w:val="clear" w:color="FFFFFF" w:fill="D9D9D9"/>
        </w:rPr>
        <w:t>弄虚作假、串通等情形</w:t>
      </w:r>
      <w:r>
        <w:rPr>
          <w:rFonts w:hint="eastAsia"/>
          <w:color w:val="auto"/>
          <w:shd w:val="clear" w:color="FFFFFF" w:fill="D9D9D9"/>
        </w:rPr>
        <w:t>；</w:t>
      </w:r>
    </w:p>
    <w:p w14:paraId="06B7EF6C">
      <w:pPr>
        <w:ind w:firstLine="420"/>
        <w:rPr>
          <w:color w:val="auto"/>
          <w:shd w:val="clear" w:color="FFFFFF" w:fill="D9D9D9"/>
        </w:rPr>
      </w:pPr>
      <w:r>
        <w:rPr>
          <w:rFonts w:hint="eastAsia"/>
          <w:color w:val="auto"/>
          <w:shd w:val="clear" w:color="FFFFFF" w:fill="D9D9D9"/>
        </w:rPr>
        <w:t>（7）发生响应人须知前附表规定的其他情形。</w:t>
      </w:r>
    </w:p>
    <w:p w14:paraId="512B8C17">
      <w:pPr>
        <w:pStyle w:val="3"/>
        <w:rPr>
          <w:color w:val="auto"/>
          <w:shd w:val="clear" w:color="FFFFFF" w:fill="D9D9D9"/>
        </w:rPr>
      </w:pPr>
      <w:bookmarkStart w:id="585" w:name="_Toc287607789"/>
      <w:bookmarkStart w:id="586" w:name="_Toc12959"/>
      <w:bookmarkStart w:id="587" w:name="_Toc21005"/>
      <w:bookmarkStart w:id="588" w:name="_Toc11646"/>
      <w:bookmarkStart w:id="589" w:name="_Toc277082595"/>
      <w:bookmarkStart w:id="590" w:name="_Toc1263"/>
      <w:bookmarkStart w:id="591" w:name="_Toc509218753"/>
      <w:bookmarkStart w:id="592" w:name="_Toc430530478"/>
      <w:bookmarkStart w:id="593" w:name="_Toc200513169"/>
      <w:bookmarkStart w:id="594" w:name="_Toc17559"/>
      <w:bookmarkStart w:id="595" w:name="_Toc287620728"/>
      <w:bookmarkStart w:id="596" w:name="_Toc21562"/>
      <w:bookmarkStart w:id="597" w:name="_Toc57820604"/>
      <w:bookmarkStart w:id="598" w:name="_Toc32153"/>
      <w:bookmarkStart w:id="599" w:name="_Toc3145"/>
      <w:bookmarkStart w:id="600" w:name="_Toc15723"/>
      <w:bookmarkStart w:id="601" w:name="_Toc17926"/>
      <w:bookmarkStart w:id="602" w:name="_Toc224103360"/>
      <w:bookmarkStart w:id="603" w:name="_Toc17457"/>
      <w:r>
        <w:rPr>
          <w:color w:val="auto"/>
          <w:shd w:val="clear" w:color="FFFFFF" w:fill="D9D9D9"/>
        </w:rPr>
        <w:t>8.</w:t>
      </w:r>
      <w:r>
        <w:rPr>
          <w:rFonts w:hint="eastAsia"/>
          <w:color w:val="auto"/>
          <w:shd w:val="clear" w:color="FFFFFF" w:fill="D9D9D9"/>
        </w:rPr>
        <w:t xml:space="preserve"> 重新询比和不再</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Fonts w:hint="eastAsia"/>
          <w:color w:val="auto"/>
          <w:shd w:val="clear" w:color="FFFFFF" w:fill="D9D9D9"/>
        </w:rPr>
        <w:t>询比</w:t>
      </w:r>
    </w:p>
    <w:p w14:paraId="7334487A">
      <w:pPr>
        <w:pStyle w:val="4"/>
        <w:ind w:firstLine="422"/>
        <w:rPr>
          <w:color w:val="auto"/>
          <w:shd w:val="clear" w:color="FFFFFF" w:fill="D9D9D9"/>
        </w:rPr>
      </w:pPr>
      <w:bookmarkStart w:id="604" w:name="_Toc509218754"/>
      <w:bookmarkStart w:id="605" w:name="_Toc277082596"/>
      <w:bookmarkStart w:id="606" w:name="_Toc224103361"/>
      <w:bookmarkStart w:id="607" w:name="_Toc430530479"/>
      <w:bookmarkStart w:id="608" w:name="_Toc200513170"/>
      <w:bookmarkStart w:id="609" w:name="_Toc287607790"/>
      <w:bookmarkStart w:id="610" w:name="_Toc57820605"/>
      <w:bookmarkStart w:id="611" w:name="_Toc287620729"/>
      <w:bookmarkStart w:id="612" w:name="_Toc15392"/>
      <w:bookmarkStart w:id="613" w:name="_Toc24727"/>
      <w:bookmarkStart w:id="614" w:name="_Toc25047"/>
      <w:bookmarkStart w:id="615" w:name="_Toc28502"/>
      <w:bookmarkStart w:id="616" w:name="_Toc30048"/>
      <w:bookmarkStart w:id="617" w:name="_Toc15291"/>
      <w:r>
        <w:rPr>
          <w:rFonts w:hint="eastAsia"/>
          <w:color w:val="auto"/>
          <w:shd w:val="clear" w:color="FFFFFF" w:fill="D9D9D9"/>
        </w:rPr>
        <w:t xml:space="preserve">8.1 </w:t>
      </w:r>
      <w:bookmarkEnd w:id="604"/>
      <w:bookmarkEnd w:id="605"/>
      <w:bookmarkEnd w:id="606"/>
      <w:bookmarkEnd w:id="607"/>
      <w:bookmarkEnd w:id="608"/>
      <w:bookmarkEnd w:id="609"/>
      <w:bookmarkEnd w:id="610"/>
      <w:bookmarkEnd w:id="611"/>
      <w:r>
        <w:rPr>
          <w:rFonts w:hint="eastAsia"/>
          <w:color w:val="auto"/>
          <w:shd w:val="clear" w:color="FFFFFF" w:fill="D9D9D9"/>
        </w:rPr>
        <w:t>重新询比的情形</w:t>
      </w:r>
      <w:bookmarkEnd w:id="612"/>
      <w:bookmarkEnd w:id="613"/>
      <w:bookmarkEnd w:id="614"/>
      <w:bookmarkEnd w:id="615"/>
      <w:bookmarkEnd w:id="616"/>
      <w:bookmarkEnd w:id="617"/>
    </w:p>
    <w:p w14:paraId="076D1BC5">
      <w:pPr>
        <w:ind w:firstLine="420"/>
        <w:rPr>
          <w:color w:val="auto"/>
          <w:shd w:val="clear" w:color="FFFFFF" w:fill="D9D9D9"/>
        </w:rPr>
      </w:pPr>
      <w:r>
        <w:rPr>
          <w:rFonts w:hint="eastAsia"/>
          <w:color w:val="auto"/>
          <w:shd w:val="clear" w:color="FFFFFF" w:fill="D9D9D9"/>
        </w:rPr>
        <w:t>有下列情形之一的，采购人将重新询比：</w:t>
      </w:r>
    </w:p>
    <w:p w14:paraId="673CD82C">
      <w:pPr>
        <w:ind w:firstLine="420"/>
        <w:rPr>
          <w:color w:val="auto"/>
          <w:shd w:val="clear" w:color="FFFFFF" w:fill="D9D9D9"/>
        </w:rPr>
      </w:pPr>
      <w:r>
        <w:rPr>
          <w:rFonts w:hint="eastAsia"/>
          <w:color w:val="auto"/>
          <w:shd w:val="clear" w:color="FFFFFF" w:fill="D9D9D9"/>
        </w:rPr>
        <w:t>（1）响应截止时间止，响应人少于 3 个的；</w:t>
      </w:r>
    </w:p>
    <w:p w14:paraId="4B091852">
      <w:pPr>
        <w:ind w:firstLine="420"/>
        <w:rPr>
          <w:color w:val="auto"/>
          <w:shd w:val="clear" w:color="FFFFFF" w:fill="D9D9D9"/>
        </w:rPr>
      </w:pPr>
      <w:r>
        <w:rPr>
          <w:rFonts w:hint="eastAsia"/>
          <w:color w:val="auto"/>
          <w:shd w:val="clear" w:color="FFFFFF" w:fill="D9D9D9"/>
        </w:rPr>
        <w:t>（2）经评审委员会评审后否决所有响应文件的；</w:t>
      </w:r>
    </w:p>
    <w:p w14:paraId="560E98C7">
      <w:pPr>
        <w:ind w:firstLine="420"/>
        <w:rPr>
          <w:color w:val="auto"/>
          <w:shd w:val="clear" w:color="FFFFFF" w:fill="D9D9D9"/>
        </w:rPr>
      </w:pPr>
      <w:r>
        <w:rPr>
          <w:rFonts w:hint="eastAsia"/>
          <w:color w:val="auto"/>
          <w:shd w:val="clear" w:color="FFFFFF" w:fill="D9D9D9"/>
        </w:rPr>
        <w:t>（3）经评审委员会评审后部分响应文件被否决，导致有效响应人不足三个，且评审委员会论证后不具有竞争性的；</w:t>
      </w:r>
    </w:p>
    <w:p w14:paraId="2E0221ED">
      <w:pPr>
        <w:ind w:firstLine="420"/>
        <w:rPr>
          <w:color w:val="auto"/>
          <w:shd w:val="clear" w:color="FFFFFF" w:fill="D9D9D9"/>
        </w:rPr>
      </w:pPr>
      <w:r>
        <w:rPr>
          <w:rFonts w:hint="eastAsia"/>
          <w:color w:val="auto"/>
          <w:shd w:val="clear" w:color="FFFFFF" w:fill="D9D9D9"/>
        </w:rPr>
        <w:t>（4）法律法规规定的其他情形。</w:t>
      </w:r>
    </w:p>
    <w:p w14:paraId="53252AB4">
      <w:pPr>
        <w:pStyle w:val="4"/>
        <w:ind w:firstLine="422"/>
        <w:rPr>
          <w:color w:val="auto"/>
          <w:shd w:val="clear" w:color="FFFFFF" w:fill="D9D9D9"/>
        </w:rPr>
      </w:pPr>
      <w:bookmarkStart w:id="618" w:name="_Toc224103362"/>
      <w:bookmarkStart w:id="619" w:name="_Toc8589"/>
      <w:bookmarkStart w:id="620" w:name="_Toc23921"/>
      <w:bookmarkStart w:id="621" w:name="_Toc18616"/>
      <w:bookmarkStart w:id="622" w:name="_Toc1410"/>
      <w:bookmarkStart w:id="623" w:name="_Toc24089"/>
      <w:bookmarkStart w:id="624" w:name="_Toc509218755"/>
      <w:bookmarkStart w:id="625" w:name="_Toc200513171"/>
      <w:bookmarkStart w:id="626" w:name="_Toc14992"/>
      <w:bookmarkStart w:id="627" w:name="_Toc430530480"/>
      <w:bookmarkStart w:id="628" w:name="_Toc287607791"/>
      <w:bookmarkStart w:id="629" w:name="_Toc277082597"/>
      <w:bookmarkStart w:id="630" w:name="_Toc287620730"/>
      <w:bookmarkStart w:id="631" w:name="_Toc57820606"/>
      <w:r>
        <w:rPr>
          <w:rFonts w:hint="eastAsia"/>
          <w:color w:val="auto"/>
          <w:shd w:val="clear" w:color="FFFFFF" w:fill="D9D9D9"/>
        </w:rPr>
        <w:t>8.2 重新询比和不再</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Fonts w:hint="eastAsia"/>
          <w:color w:val="auto"/>
          <w:shd w:val="clear" w:color="FFFFFF" w:fill="D9D9D9"/>
        </w:rPr>
        <w:t>询比</w:t>
      </w:r>
    </w:p>
    <w:p w14:paraId="56281091">
      <w:pPr>
        <w:ind w:firstLine="420"/>
        <w:rPr>
          <w:color w:val="auto"/>
          <w:shd w:val="clear" w:color="FFFFFF" w:fill="D9D9D9"/>
        </w:rPr>
      </w:pPr>
      <w:r>
        <w:rPr>
          <w:rFonts w:hint="eastAsia"/>
          <w:color w:val="auto"/>
          <w:shd w:val="clear" w:color="FFFFFF" w:fill="D9D9D9"/>
        </w:rPr>
        <w:t>8.2.1 重新询比的响应人仍然少于三个的，按照询比文件规定的程序开标和评审。重新询比经评审有有效响应人的，应当依法确定排名；无有效响应人的，可以不再进行询比。</w:t>
      </w:r>
    </w:p>
    <w:p w14:paraId="45EE1921">
      <w:pPr>
        <w:ind w:firstLine="420"/>
        <w:rPr>
          <w:color w:val="auto"/>
          <w:shd w:val="clear" w:color="FFFFFF" w:fill="D9D9D9"/>
        </w:rPr>
      </w:pPr>
      <w:r>
        <w:rPr>
          <w:rFonts w:hint="eastAsia"/>
          <w:color w:val="auto"/>
          <w:shd w:val="clear" w:color="FFFFFF" w:fill="D9D9D9"/>
        </w:rPr>
        <w:t>8.2.2 因情况发生变化或其他原因造成该项目取消的，本次询比自动终止，双方互不承担责任，采购人有息退还响应保证金。</w:t>
      </w:r>
    </w:p>
    <w:p w14:paraId="205F7C90">
      <w:pPr>
        <w:ind w:firstLine="420"/>
        <w:rPr>
          <w:color w:val="auto"/>
          <w:shd w:val="clear" w:color="FFFFFF" w:fill="D9D9D9"/>
        </w:rPr>
      </w:pPr>
      <w:r>
        <w:rPr>
          <w:rFonts w:hint="eastAsia"/>
          <w:color w:val="auto"/>
          <w:shd w:val="clear" w:color="FFFFFF" w:fill="D9D9D9"/>
        </w:rPr>
        <w:t>8.2.3 签订合同之前，采购人发现成交供应商经营、财务状况发生较大变化或存在违法行为，采购人认为可能影响其履约能力的，采购人可废除成交供应商资格。</w:t>
      </w:r>
    </w:p>
    <w:p w14:paraId="6BFB7568">
      <w:pPr>
        <w:pStyle w:val="3"/>
        <w:rPr>
          <w:color w:val="auto"/>
          <w:shd w:val="clear" w:color="FFFFFF" w:fill="D9D9D9"/>
        </w:rPr>
      </w:pPr>
      <w:bookmarkStart w:id="632" w:name="_bookmark69"/>
      <w:bookmarkEnd w:id="632"/>
      <w:bookmarkStart w:id="633" w:name="_bookmark68"/>
      <w:bookmarkEnd w:id="633"/>
      <w:bookmarkStart w:id="634" w:name="_Toc1397"/>
      <w:bookmarkStart w:id="635" w:name="_Toc6688"/>
      <w:bookmarkStart w:id="636" w:name="_Toc2927"/>
      <w:bookmarkStart w:id="637" w:name="_Toc18073"/>
      <w:bookmarkStart w:id="638" w:name="_Toc5423"/>
      <w:bookmarkStart w:id="639" w:name="_Toc303"/>
      <w:bookmarkStart w:id="640" w:name="_Toc1850"/>
      <w:bookmarkStart w:id="641" w:name="_Toc27494"/>
      <w:bookmarkStart w:id="642" w:name="_Toc16416"/>
      <w:bookmarkStart w:id="643" w:name="_Toc8994"/>
      <w:bookmarkStart w:id="644" w:name="_Toc31480"/>
      <w:r>
        <w:rPr>
          <w:color w:val="auto"/>
          <w:shd w:val="clear" w:color="FFFFFF" w:fill="D9D9D9"/>
        </w:rPr>
        <w:t>9.</w:t>
      </w:r>
      <w:r>
        <w:rPr>
          <w:rFonts w:hint="eastAsia"/>
          <w:color w:val="auto"/>
          <w:shd w:val="clear" w:color="FFFFFF" w:fill="D9D9D9"/>
        </w:rPr>
        <w:t xml:space="preserve"> 纪律和监督</w:t>
      </w:r>
      <w:bookmarkEnd w:id="634"/>
      <w:bookmarkEnd w:id="635"/>
      <w:bookmarkEnd w:id="636"/>
      <w:bookmarkEnd w:id="637"/>
      <w:bookmarkEnd w:id="638"/>
      <w:bookmarkEnd w:id="639"/>
      <w:bookmarkEnd w:id="640"/>
      <w:bookmarkEnd w:id="641"/>
      <w:bookmarkEnd w:id="642"/>
      <w:bookmarkEnd w:id="643"/>
      <w:bookmarkEnd w:id="644"/>
    </w:p>
    <w:p w14:paraId="2E254B37">
      <w:pPr>
        <w:pStyle w:val="4"/>
        <w:ind w:firstLine="422"/>
        <w:rPr>
          <w:color w:val="auto"/>
          <w:shd w:val="clear" w:color="FFFFFF" w:fill="D9D9D9"/>
        </w:rPr>
      </w:pPr>
      <w:bookmarkStart w:id="645" w:name="_Toc27593"/>
      <w:bookmarkStart w:id="646" w:name="_Toc10403"/>
      <w:bookmarkStart w:id="647" w:name="_Toc32465"/>
      <w:bookmarkStart w:id="648" w:name="_Toc22469"/>
      <w:bookmarkStart w:id="649" w:name="_Toc658"/>
      <w:bookmarkStart w:id="650" w:name="_Toc30900"/>
      <w:r>
        <w:rPr>
          <w:rFonts w:hint="eastAsia"/>
          <w:color w:val="auto"/>
          <w:shd w:val="clear" w:color="FFFFFF" w:fill="D9D9D9"/>
        </w:rPr>
        <w:t>9.1 对采购人的纪律要求</w:t>
      </w:r>
      <w:bookmarkEnd w:id="645"/>
      <w:bookmarkEnd w:id="646"/>
      <w:bookmarkEnd w:id="647"/>
      <w:bookmarkEnd w:id="648"/>
      <w:bookmarkEnd w:id="649"/>
      <w:bookmarkEnd w:id="650"/>
    </w:p>
    <w:p w14:paraId="24060088">
      <w:pPr>
        <w:ind w:firstLine="420"/>
        <w:rPr>
          <w:color w:val="auto"/>
          <w:shd w:val="clear" w:color="FFFFFF" w:fill="D9D9D9"/>
        </w:rPr>
      </w:pPr>
      <w:r>
        <w:rPr>
          <w:rFonts w:hint="eastAsia"/>
          <w:color w:val="auto"/>
          <w:shd w:val="clear" w:color="FFFFFF" w:fill="D9D9D9"/>
        </w:rPr>
        <w:t>采购人不得泄露采购活动中应当保密的情况和资料，不得与响应人串通损害国家利益</w:t>
      </w:r>
      <w:bookmarkStart w:id="651" w:name="_bookmark70"/>
      <w:bookmarkEnd w:id="651"/>
      <w:r>
        <w:rPr>
          <w:rFonts w:hint="eastAsia"/>
          <w:color w:val="auto"/>
          <w:shd w:val="clear" w:color="FFFFFF" w:fill="D9D9D9"/>
        </w:rPr>
        <w:t>、社会公共利益或者他人合法权益。</w:t>
      </w:r>
    </w:p>
    <w:p w14:paraId="3E37BB51">
      <w:pPr>
        <w:pStyle w:val="4"/>
        <w:ind w:firstLine="422"/>
        <w:rPr>
          <w:color w:val="auto"/>
          <w:shd w:val="clear" w:color="FFFFFF" w:fill="D9D9D9"/>
        </w:rPr>
      </w:pPr>
      <w:bookmarkStart w:id="652" w:name="_Toc31192"/>
      <w:bookmarkStart w:id="653" w:name="_Toc19782"/>
      <w:bookmarkStart w:id="654" w:name="_Toc25110"/>
      <w:bookmarkStart w:id="655" w:name="_Toc197"/>
      <w:bookmarkStart w:id="656" w:name="_Toc15105"/>
      <w:bookmarkStart w:id="657" w:name="_Toc10781"/>
      <w:r>
        <w:rPr>
          <w:rFonts w:hint="eastAsia"/>
          <w:color w:val="auto"/>
          <w:shd w:val="clear" w:color="FFFFFF" w:fill="D9D9D9"/>
        </w:rPr>
        <w:t>9.2 对响应人的纪律要求</w:t>
      </w:r>
      <w:bookmarkEnd w:id="652"/>
      <w:bookmarkEnd w:id="653"/>
      <w:bookmarkEnd w:id="654"/>
      <w:bookmarkEnd w:id="655"/>
      <w:bookmarkEnd w:id="656"/>
      <w:bookmarkEnd w:id="657"/>
    </w:p>
    <w:p w14:paraId="1167F6E8">
      <w:pPr>
        <w:ind w:firstLine="420"/>
        <w:rPr>
          <w:color w:val="auto"/>
          <w:shd w:val="clear" w:color="FFFFFF" w:fill="D9D9D9"/>
        </w:rPr>
      </w:pPr>
      <w:r>
        <w:rPr>
          <w:rFonts w:hint="eastAsia"/>
          <w:color w:val="auto"/>
          <w:shd w:val="clear" w:color="FFFFFF" w:fill="D9D9D9"/>
        </w:rPr>
        <w:t>响应人不得相互串通或者与采购人串通，不得向采购人或者评审委员会成员行贿谋取成交，不得以他人名义响应或者以其他方式弄虚作假骗取成交资格；响应人不得以任何方式干</w:t>
      </w:r>
      <w:bookmarkStart w:id="658" w:name="_bookmark71"/>
      <w:bookmarkEnd w:id="658"/>
      <w:r>
        <w:rPr>
          <w:rFonts w:hint="eastAsia"/>
          <w:color w:val="auto"/>
          <w:shd w:val="clear" w:color="FFFFFF" w:fill="D9D9D9"/>
        </w:rPr>
        <w:t>扰、影响评审工作。</w:t>
      </w:r>
    </w:p>
    <w:p w14:paraId="00715D85">
      <w:pPr>
        <w:pStyle w:val="4"/>
        <w:ind w:firstLine="422"/>
        <w:rPr>
          <w:color w:val="auto"/>
          <w:shd w:val="clear" w:color="FFFFFF" w:fill="D9D9D9"/>
        </w:rPr>
      </w:pPr>
      <w:bookmarkStart w:id="659" w:name="_Toc26862"/>
      <w:bookmarkStart w:id="660" w:name="_Toc15498"/>
      <w:bookmarkStart w:id="661" w:name="_Toc10705"/>
      <w:bookmarkStart w:id="662" w:name="_Toc16679"/>
      <w:bookmarkStart w:id="663" w:name="_Toc6414"/>
      <w:bookmarkStart w:id="664" w:name="_Toc16517"/>
      <w:r>
        <w:rPr>
          <w:rFonts w:hint="eastAsia"/>
          <w:color w:val="auto"/>
          <w:shd w:val="clear" w:color="FFFFFF" w:fill="D9D9D9"/>
        </w:rPr>
        <w:t>9.3 对评审委员会成员的纪律要求</w:t>
      </w:r>
      <w:bookmarkEnd w:id="659"/>
      <w:bookmarkEnd w:id="660"/>
      <w:bookmarkEnd w:id="661"/>
      <w:bookmarkEnd w:id="662"/>
      <w:bookmarkEnd w:id="663"/>
      <w:bookmarkEnd w:id="664"/>
    </w:p>
    <w:p w14:paraId="39A1C0D8">
      <w:pPr>
        <w:ind w:firstLine="420"/>
        <w:rPr>
          <w:color w:val="auto"/>
          <w:shd w:val="clear" w:color="FFFFFF" w:fill="D9D9D9"/>
        </w:rPr>
      </w:pPr>
      <w:r>
        <w:rPr>
          <w:rFonts w:hint="eastAsia"/>
          <w:color w:val="auto"/>
          <w:shd w:val="clear" w:color="FFFFFF" w:fill="D9D9D9"/>
        </w:rPr>
        <w:t>评审委员会成员不得收受他人的财物或者其他好处，不得向他人透露对响应文件的评审和比较、排名的情况以及评审有关的其他情况。在评审活动中，评审委员会成员应当客观、公正地履行职责，遵守职业道德，不得擅离职守，影响评审程序正常进行，不得使用第</w:t>
      </w:r>
      <w:bookmarkStart w:id="665" w:name="_bookmark72"/>
      <w:bookmarkEnd w:id="665"/>
      <w:r>
        <w:rPr>
          <w:rFonts w:hint="eastAsia"/>
          <w:color w:val="auto"/>
          <w:shd w:val="clear" w:color="FFFFFF" w:fill="D9D9D9"/>
        </w:rPr>
        <w:t>三章“评审办法”没有规定的评审因素和标准进行评审。</w:t>
      </w:r>
    </w:p>
    <w:p w14:paraId="6D6132D1">
      <w:pPr>
        <w:pStyle w:val="4"/>
        <w:ind w:firstLine="422"/>
        <w:rPr>
          <w:color w:val="auto"/>
          <w:shd w:val="clear" w:color="FFFFFF" w:fill="D9D9D9"/>
        </w:rPr>
      </w:pPr>
      <w:bookmarkStart w:id="666" w:name="_Toc12815"/>
      <w:bookmarkStart w:id="667" w:name="_Toc29611"/>
      <w:bookmarkStart w:id="668" w:name="_Toc18411"/>
      <w:bookmarkStart w:id="669" w:name="_Toc14564"/>
      <w:bookmarkStart w:id="670" w:name="_Toc8033"/>
      <w:bookmarkStart w:id="671" w:name="_Toc19044"/>
      <w:r>
        <w:rPr>
          <w:rFonts w:hint="eastAsia"/>
          <w:color w:val="auto"/>
          <w:shd w:val="clear" w:color="FFFFFF" w:fill="D9D9D9"/>
        </w:rPr>
        <w:t>9.4 对与评审活动有关的工作人员的纪律要求</w:t>
      </w:r>
      <w:bookmarkEnd w:id="666"/>
      <w:bookmarkEnd w:id="667"/>
      <w:bookmarkEnd w:id="668"/>
      <w:bookmarkEnd w:id="669"/>
      <w:bookmarkEnd w:id="670"/>
      <w:bookmarkEnd w:id="671"/>
    </w:p>
    <w:p w14:paraId="5BE46C5A">
      <w:pPr>
        <w:ind w:firstLine="420"/>
        <w:rPr>
          <w:color w:val="auto"/>
          <w:shd w:val="clear" w:color="FFFFFF" w:fill="D9D9D9"/>
        </w:rPr>
      </w:pPr>
      <w:r>
        <w:rPr>
          <w:rFonts w:hint="eastAsia"/>
          <w:color w:val="auto"/>
          <w:shd w:val="clear" w:color="FFFFFF" w:fill="D9D9D9"/>
        </w:rPr>
        <w:t>与评审活动有关的工作人员不得收受他人的财物或者其他好处，不得向他人透露对响应文件的评审和比较、排名的情况以及评审有关的其他情况。在评审活动中，与评审活</w:t>
      </w:r>
      <w:bookmarkStart w:id="672" w:name="_bookmark73"/>
      <w:bookmarkEnd w:id="672"/>
      <w:r>
        <w:rPr>
          <w:rFonts w:hint="eastAsia"/>
          <w:color w:val="auto"/>
          <w:shd w:val="clear" w:color="FFFFFF" w:fill="D9D9D9"/>
        </w:rPr>
        <w:t>动有关的工作人员不得擅离职守，影响评审程序正常进行。</w:t>
      </w:r>
    </w:p>
    <w:p w14:paraId="24E15B73">
      <w:pPr>
        <w:pStyle w:val="4"/>
        <w:ind w:firstLine="422"/>
        <w:rPr>
          <w:color w:val="auto"/>
          <w:shd w:val="clear" w:color="FFFFFF" w:fill="D9D9D9"/>
        </w:rPr>
      </w:pPr>
      <w:bookmarkStart w:id="673" w:name="_Toc10446"/>
      <w:bookmarkStart w:id="674" w:name="_Toc11616"/>
      <w:bookmarkStart w:id="675" w:name="_Toc16821"/>
      <w:bookmarkStart w:id="676" w:name="_Toc9712"/>
      <w:bookmarkStart w:id="677" w:name="_Toc20373"/>
      <w:bookmarkStart w:id="678" w:name="_Toc16311"/>
      <w:r>
        <w:rPr>
          <w:rFonts w:hint="eastAsia"/>
          <w:color w:val="auto"/>
          <w:shd w:val="clear" w:color="FFFFFF" w:fill="D9D9D9"/>
        </w:rPr>
        <w:t>9.5 投诉</w:t>
      </w:r>
      <w:bookmarkEnd w:id="673"/>
      <w:bookmarkEnd w:id="674"/>
      <w:bookmarkEnd w:id="675"/>
      <w:bookmarkEnd w:id="676"/>
      <w:bookmarkEnd w:id="677"/>
      <w:bookmarkEnd w:id="678"/>
    </w:p>
    <w:p w14:paraId="27796862">
      <w:pPr>
        <w:ind w:firstLine="420"/>
        <w:rPr>
          <w:color w:val="auto"/>
          <w:shd w:val="clear" w:color="FFFFFF" w:fill="D9D9D9"/>
        </w:rPr>
      </w:pPr>
      <w:r>
        <w:rPr>
          <w:rFonts w:hint="eastAsia"/>
          <w:color w:val="auto"/>
          <w:shd w:val="clear" w:color="FFFFFF" w:fill="D9D9D9"/>
        </w:rPr>
        <w:t>响应人对采购人回复不满意，可向采购人纪检监察部投诉。</w:t>
      </w:r>
    </w:p>
    <w:p w14:paraId="3F6A5719">
      <w:pPr>
        <w:ind w:firstLine="420"/>
        <w:rPr>
          <w:color w:val="auto"/>
          <w:shd w:val="clear" w:color="FFFFFF" w:fill="D9D9D9"/>
        </w:rPr>
      </w:pPr>
      <w:r>
        <w:rPr>
          <w:rFonts w:hint="eastAsia"/>
          <w:color w:val="auto"/>
          <w:shd w:val="clear" w:color="FFFFFF" w:fill="D9D9D9"/>
        </w:rPr>
        <w:t>投诉邮箱：sxyhjjz@</w:t>
      </w:r>
      <w:r>
        <w:rPr>
          <w:color w:val="auto"/>
          <w:shd w:val="clear" w:color="FFFFFF" w:fill="D9D9D9"/>
        </w:rPr>
        <w:t>ccqtgb</w:t>
      </w:r>
      <w:r>
        <w:rPr>
          <w:rFonts w:hint="eastAsia"/>
          <w:color w:val="auto"/>
          <w:shd w:val="clear" w:color="FFFFFF" w:fill="D9D9D9"/>
        </w:rPr>
        <w:t>.com</w:t>
      </w:r>
    </w:p>
    <w:p w14:paraId="37661F02">
      <w:pPr>
        <w:pStyle w:val="3"/>
        <w:rPr>
          <w:color w:val="auto"/>
          <w:shd w:val="clear" w:color="FFFFFF" w:fill="D9D9D9"/>
        </w:rPr>
      </w:pPr>
      <w:bookmarkStart w:id="679" w:name="_Toc9029"/>
      <w:bookmarkStart w:id="680" w:name="_Toc19672"/>
      <w:bookmarkStart w:id="681" w:name="_Toc12390"/>
      <w:bookmarkStart w:id="682" w:name="_Toc4439"/>
      <w:bookmarkStart w:id="683" w:name="_Toc23403"/>
      <w:bookmarkStart w:id="684" w:name="_Toc23331"/>
      <w:bookmarkStart w:id="685" w:name="_Toc28800"/>
      <w:bookmarkStart w:id="686" w:name="_Toc8004"/>
      <w:bookmarkStart w:id="687" w:name="_Toc23202"/>
      <w:bookmarkStart w:id="688" w:name="_Toc11971"/>
      <w:bookmarkStart w:id="689" w:name="_Toc13757"/>
      <w:r>
        <w:rPr>
          <w:rFonts w:hint="eastAsia"/>
          <w:color w:val="auto"/>
          <w:shd w:val="clear" w:color="FFFFFF" w:fill="D9D9D9"/>
        </w:rPr>
        <w:t>10. 交易相关费用</w:t>
      </w:r>
      <w:bookmarkEnd w:id="679"/>
      <w:bookmarkEnd w:id="680"/>
      <w:bookmarkEnd w:id="681"/>
      <w:bookmarkEnd w:id="682"/>
      <w:bookmarkEnd w:id="683"/>
      <w:bookmarkEnd w:id="684"/>
      <w:bookmarkEnd w:id="685"/>
      <w:bookmarkEnd w:id="686"/>
      <w:bookmarkEnd w:id="687"/>
      <w:bookmarkEnd w:id="688"/>
      <w:bookmarkEnd w:id="689"/>
    </w:p>
    <w:p w14:paraId="2ABFFFB3">
      <w:pPr>
        <w:ind w:firstLine="420"/>
        <w:rPr>
          <w:color w:val="auto"/>
          <w:shd w:val="clear" w:color="FFFFFF" w:fill="D9D9D9"/>
        </w:rPr>
      </w:pPr>
      <w:r>
        <w:rPr>
          <w:rFonts w:hint="eastAsia"/>
          <w:color w:val="auto"/>
          <w:shd w:val="clear" w:color="FFFFFF" w:fill="D9D9D9"/>
        </w:rPr>
        <w:t>交易相关费用：见响应人须知前附表。</w:t>
      </w:r>
    </w:p>
    <w:p w14:paraId="680F74EC">
      <w:pPr>
        <w:pStyle w:val="3"/>
        <w:rPr>
          <w:color w:val="auto"/>
          <w:shd w:val="clear" w:color="FFFFFF" w:fill="D9D9D9"/>
        </w:rPr>
      </w:pPr>
      <w:bookmarkStart w:id="690" w:name="_bookmark75"/>
      <w:bookmarkEnd w:id="690"/>
      <w:bookmarkStart w:id="691" w:name="_bookmark74"/>
      <w:bookmarkEnd w:id="691"/>
      <w:bookmarkStart w:id="692" w:name="_Toc23036"/>
      <w:bookmarkStart w:id="693" w:name="_Toc14220"/>
      <w:bookmarkStart w:id="694" w:name="_Toc24280"/>
      <w:bookmarkStart w:id="695" w:name="_Toc19461"/>
      <w:bookmarkStart w:id="696" w:name="_Toc16196"/>
      <w:bookmarkStart w:id="697" w:name="_Toc30795"/>
      <w:bookmarkStart w:id="698" w:name="_Toc27667"/>
      <w:bookmarkStart w:id="699" w:name="_Toc8753"/>
      <w:bookmarkStart w:id="700" w:name="_Toc23894"/>
      <w:bookmarkStart w:id="701" w:name="_Toc5729"/>
      <w:bookmarkStart w:id="702" w:name="_Toc8775"/>
      <w:r>
        <w:rPr>
          <w:rFonts w:hint="eastAsia"/>
          <w:color w:val="auto"/>
          <w:shd w:val="clear" w:color="FFFFFF" w:fill="D9D9D9"/>
        </w:rPr>
        <w:t>11. 需要补充的其他内容</w:t>
      </w:r>
      <w:bookmarkEnd w:id="692"/>
      <w:bookmarkEnd w:id="693"/>
      <w:bookmarkEnd w:id="694"/>
      <w:bookmarkEnd w:id="695"/>
      <w:bookmarkEnd w:id="696"/>
      <w:bookmarkEnd w:id="697"/>
      <w:bookmarkEnd w:id="698"/>
      <w:bookmarkEnd w:id="699"/>
      <w:bookmarkEnd w:id="700"/>
      <w:bookmarkEnd w:id="701"/>
      <w:bookmarkEnd w:id="702"/>
    </w:p>
    <w:p w14:paraId="46460C4C">
      <w:pPr>
        <w:ind w:firstLine="420"/>
        <w:rPr>
          <w:color w:val="auto"/>
          <w:shd w:val="clear" w:color="FFFFFF" w:fill="D9D9D9"/>
        </w:rPr>
      </w:pPr>
      <w:r>
        <w:rPr>
          <w:rFonts w:hint="eastAsia"/>
          <w:color w:val="auto"/>
          <w:shd w:val="clear" w:color="FFFFFF" w:fill="D9D9D9"/>
        </w:rPr>
        <w:t>需要补充的其他内容：见响应人须知前附表。</w:t>
      </w:r>
    </w:p>
    <w:p w14:paraId="351DA104">
      <w:pPr>
        <w:ind w:firstLine="210" w:firstLineChars="100"/>
        <w:rPr>
          <w:rFonts w:hint="eastAsia" w:ascii="宋体" w:hAnsi="宋体" w:cs="宋体"/>
          <w:color w:val="auto"/>
          <w:highlight w:val="lightGray"/>
          <w:shd w:val="clear" w:color="FFFFFF" w:fill="D9D9D9"/>
        </w:rPr>
      </w:pPr>
      <w:bookmarkStart w:id="703" w:name="_Toc492300620"/>
      <w:bookmarkStart w:id="704" w:name="_Toc30270"/>
      <w:r>
        <w:rPr>
          <w:rFonts w:hint="eastAsia" w:ascii="宋体" w:hAnsi="宋体" w:cs="宋体"/>
          <w:color w:val="auto"/>
          <w:highlight w:val="lightGray"/>
          <w:shd w:val="clear" w:color="FFFFFF" w:fill="D9D9D9"/>
        </w:rPr>
        <w:br w:type="page"/>
      </w:r>
    </w:p>
    <w:bookmarkEnd w:id="703"/>
    <w:bookmarkEnd w:id="704"/>
    <w:p w14:paraId="11E6DD90">
      <w:pPr>
        <w:pStyle w:val="2"/>
        <w:rPr>
          <w:color w:val="auto"/>
        </w:rPr>
      </w:pPr>
      <w:bookmarkStart w:id="705" w:name="_Toc23643"/>
      <w:bookmarkStart w:id="706" w:name="_Toc25902"/>
      <w:bookmarkStart w:id="707" w:name="_Toc15706"/>
      <w:bookmarkStart w:id="708" w:name="_Toc21818"/>
      <w:bookmarkStart w:id="709" w:name="_Toc9651"/>
      <w:bookmarkStart w:id="710" w:name="_Toc16655"/>
      <w:bookmarkStart w:id="711" w:name="_Toc16641"/>
      <w:bookmarkStart w:id="712" w:name="_Toc15116"/>
      <w:bookmarkStart w:id="713" w:name="_Toc509218774"/>
      <w:bookmarkStart w:id="714" w:name="_Toc57820625"/>
      <w:bookmarkStart w:id="715" w:name="_Toc1048"/>
      <w:bookmarkStart w:id="716" w:name="_Toc20931"/>
      <w:bookmarkStart w:id="717" w:name="_Toc22047"/>
      <w:bookmarkStart w:id="718" w:name="_Toc9713"/>
      <w:bookmarkStart w:id="719" w:name="_Toc21624"/>
      <w:bookmarkStart w:id="720" w:name="_Toc6462"/>
      <w:bookmarkStart w:id="721" w:name="_Toc10731"/>
      <w:bookmarkStart w:id="722" w:name="_Toc8969"/>
      <w:bookmarkStart w:id="723" w:name="_Toc28232"/>
      <w:bookmarkStart w:id="724" w:name="_Toc31856"/>
      <w:bookmarkStart w:id="725" w:name="_Toc5925"/>
      <w:bookmarkStart w:id="726" w:name="_Toc891"/>
      <w:bookmarkStart w:id="727" w:name="_Toc16002"/>
      <w:bookmarkStart w:id="728" w:name="_Toc32563"/>
      <w:bookmarkStart w:id="729" w:name="_Toc7620"/>
      <w:bookmarkStart w:id="730" w:name="_Toc4610"/>
      <w:bookmarkStart w:id="731" w:name="_Toc11978"/>
      <w:bookmarkStart w:id="732" w:name="_Toc12009"/>
      <w:bookmarkStart w:id="733" w:name="_Toc379581361"/>
      <w:bookmarkStart w:id="734" w:name="_Toc144974567"/>
      <w:bookmarkStart w:id="735" w:name="_Toc330213998"/>
      <w:bookmarkStart w:id="736" w:name="_Toc152042377"/>
      <w:bookmarkStart w:id="737" w:name="_Toc152045600"/>
      <w:r>
        <w:rPr>
          <w:rFonts w:hint="eastAsia"/>
          <w:color w:val="auto"/>
        </w:rPr>
        <w:t>第三章 评审办法（综合评估法）</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Start w:id="738" w:name="_Toc287607811"/>
      <w:bookmarkStart w:id="739" w:name="_Toc430530499"/>
      <w:bookmarkStart w:id="740" w:name="_Toc224103383"/>
      <w:bookmarkStart w:id="741" w:name="_Toc277082617"/>
      <w:bookmarkStart w:id="742" w:name="_Toc287620750"/>
    </w:p>
    <w:p w14:paraId="29B8B035">
      <w:pPr>
        <w:pStyle w:val="3"/>
        <w:rPr>
          <w:color w:val="auto"/>
        </w:rPr>
      </w:pPr>
      <w:bookmarkStart w:id="743" w:name="_Toc509218775"/>
      <w:bookmarkStart w:id="744" w:name="_Toc16708"/>
      <w:bookmarkStart w:id="745" w:name="_Toc6005"/>
      <w:bookmarkStart w:id="746" w:name="_Toc10085"/>
      <w:bookmarkStart w:id="747" w:name="_Toc18324"/>
      <w:bookmarkStart w:id="748" w:name="_Toc6098"/>
      <w:bookmarkStart w:id="749" w:name="_Toc5544"/>
      <w:bookmarkStart w:id="750" w:name="_Toc8676"/>
      <w:bookmarkStart w:id="751" w:name="_Toc15653"/>
      <w:bookmarkStart w:id="752" w:name="_Toc57820626"/>
      <w:bookmarkStart w:id="753" w:name="_Toc915"/>
      <w:bookmarkStart w:id="754" w:name="_Toc1355"/>
      <w:bookmarkStart w:id="755" w:name="_Toc9062"/>
      <w:bookmarkStart w:id="756" w:name="_Toc18991"/>
      <w:r>
        <w:rPr>
          <w:rFonts w:hint="eastAsia"/>
          <w:color w:val="auto"/>
        </w:rPr>
        <w:t>评审办法前附表</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bookmarkEnd w:id="738"/>
    <w:bookmarkEnd w:id="739"/>
    <w:bookmarkEnd w:id="740"/>
    <w:bookmarkEnd w:id="741"/>
    <w:bookmarkEnd w:id="742"/>
    <w:p w14:paraId="61D2029B">
      <w:pPr>
        <w:ind w:firstLine="420"/>
        <w:rPr>
          <w:color w:val="auto"/>
        </w:rPr>
      </w:pPr>
      <w:r>
        <w:rPr>
          <w:rFonts w:hint="eastAsia"/>
          <w:color w:val="auto"/>
        </w:rPr>
        <w:t>评审办法中的评审内容必须和响应人须知中的对应内容一致，若响应人须知中未作要求的内容，不得列入评审办法作为评定依据。</w:t>
      </w:r>
    </w:p>
    <w:tbl>
      <w:tblPr>
        <w:tblStyle w:val="27"/>
        <w:tblW w:w="504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7"/>
        <w:gridCol w:w="1098"/>
        <w:gridCol w:w="2113"/>
        <w:gridCol w:w="4322"/>
      </w:tblGrid>
      <w:tr w14:paraId="473E2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5" w:type="pct"/>
            <w:gridSpan w:val="2"/>
          </w:tcPr>
          <w:p w14:paraId="7BB834FA">
            <w:pPr>
              <w:pStyle w:val="44"/>
              <w:rPr>
                <w:color w:val="auto"/>
              </w:rPr>
            </w:pPr>
            <w:r>
              <w:rPr>
                <w:rFonts w:hint="eastAsia"/>
                <w:color w:val="auto"/>
              </w:rPr>
              <w:t>条款号</w:t>
            </w:r>
          </w:p>
        </w:tc>
        <w:tc>
          <w:tcPr>
            <w:tcW w:w="1258" w:type="pct"/>
          </w:tcPr>
          <w:p w14:paraId="1E81FB43">
            <w:pPr>
              <w:pStyle w:val="44"/>
              <w:rPr>
                <w:color w:val="auto"/>
              </w:rPr>
            </w:pPr>
            <w:r>
              <w:rPr>
                <w:rFonts w:hint="eastAsia"/>
                <w:color w:val="auto"/>
              </w:rPr>
              <w:t>评审因素</w:t>
            </w:r>
          </w:p>
        </w:tc>
        <w:tc>
          <w:tcPr>
            <w:tcW w:w="2575" w:type="pct"/>
          </w:tcPr>
          <w:p w14:paraId="22F69A76">
            <w:pPr>
              <w:pStyle w:val="44"/>
              <w:rPr>
                <w:color w:val="auto"/>
              </w:rPr>
            </w:pPr>
            <w:r>
              <w:rPr>
                <w:rFonts w:hint="eastAsia"/>
                <w:color w:val="auto"/>
              </w:rPr>
              <w:t>评审标准</w:t>
            </w:r>
          </w:p>
        </w:tc>
      </w:tr>
      <w:tr w14:paraId="623AC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1" w:type="pct"/>
            <w:tcBorders>
              <w:bottom w:val="single" w:color="auto" w:sz="4" w:space="0"/>
            </w:tcBorders>
            <w:vAlign w:val="center"/>
          </w:tcPr>
          <w:p w14:paraId="287D44D9">
            <w:pPr>
              <w:pStyle w:val="54"/>
              <w:rPr>
                <w:rFonts w:hint="default"/>
                <w:color w:val="auto"/>
              </w:rPr>
            </w:pPr>
            <w:r>
              <w:rPr>
                <w:color w:val="auto"/>
              </w:rPr>
              <w:t>1</w:t>
            </w:r>
          </w:p>
        </w:tc>
        <w:tc>
          <w:tcPr>
            <w:tcW w:w="654" w:type="pct"/>
            <w:tcBorders>
              <w:bottom w:val="single" w:color="auto" w:sz="4" w:space="0"/>
            </w:tcBorders>
            <w:vAlign w:val="center"/>
          </w:tcPr>
          <w:p w14:paraId="062B3122">
            <w:pPr>
              <w:pStyle w:val="54"/>
              <w:rPr>
                <w:rFonts w:hint="default"/>
                <w:color w:val="auto"/>
              </w:rPr>
            </w:pPr>
            <w:r>
              <w:rPr>
                <w:color w:val="auto"/>
              </w:rPr>
              <w:t>评审方法</w:t>
            </w:r>
          </w:p>
        </w:tc>
        <w:tc>
          <w:tcPr>
            <w:tcW w:w="1258" w:type="pct"/>
            <w:vAlign w:val="center"/>
          </w:tcPr>
          <w:p w14:paraId="614426FE">
            <w:pPr>
              <w:pStyle w:val="54"/>
              <w:rPr>
                <w:rFonts w:hint="default"/>
                <w:color w:val="auto"/>
              </w:rPr>
            </w:pPr>
            <w:r>
              <w:rPr>
                <w:color w:val="auto"/>
              </w:rPr>
              <w:t>排序方式</w:t>
            </w:r>
          </w:p>
        </w:tc>
        <w:tc>
          <w:tcPr>
            <w:tcW w:w="2575" w:type="pct"/>
          </w:tcPr>
          <w:p w14:paraId="1C6611D2">
            <w:pPr>
              <w:pStyle w:val="43"/>
              <w:ind w:firstLine="420"/>
              <w:rPr>
                <w:color w:val="auto"/>
              </w:rPr>
            </w:pPr>
            <w:r>
              <w:rPr>
                <w:rFonts w:hint="eastAsia"/>
                <w:color w:val="auto"/>
              </w:rPr>
              <w:t>综合评分相等时，以响应报价（不含税）低的优先进行排序；响应报价相等的，由评审委员会投票排序。</w:t>
            </w:r>
          </w:p>
        </w:tc>
      </w:tr>
      <w:tr w14:paraId="1DE8E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restart"/>
            <w:tcBorders>
              <w:top w:val="single" w:color="auto" w:sz="4" w:space="0"/>
              <w:left w:val="single" w:color="auto" w:sz="4" w:space="0"/>
              <w:bottom w:val="single" w:color="auto" w:sz="4" w:space="0"/>
            </w:tcBorders>
            <w:vAlign w:val="center"/>
          </w:tcPr>
          <w:p w14:paraId="3C6EBE98">
            <w:pPr>
              <w:pStyle w:val="54"/>
              <w:rPr>
                <w:rFonts w:hint="default"/>
                <w:color w:val="auto"/>
              </w:rPr>
            </w:pPr>
            <w:r>
              <w:rPr>
                <w:color w:val="auto"/>
              </w:rPr>
              <w:t>2.1.1</w:t>
            </w:r>
          </w:p>
        </w:tc>
        <w:tc>
          <w:tcPr>
            <w:tcW w:w="654" w:type="pct"/>
            <w:vMerge w:val="restart"/>
            <w:tcBorders>
              <w:top w:val="single" w:color="auto" w:sz="4" w:space="0"/>
              <w:bottom w:val="single" w:color="auto" w:sz="4" w:space="0"/>
              <w:right w:val="single" w:color="auto" w:sz="4" w:space="0"/>
            </w:tcBorders>
            <w:vAlign w:val="center"/>
          </w:tcPr>
          <w:p w14:paraId="4F26C3DA">
            <w:pPr>
              <w:pStyle w:val="54"/>
              <w:rPr>
                <w:rFonts w:hint="default"/>
                <w:color w:val="auto"/>
              </w:rPr>
            </w:pPr>
            <w:r>
              <w:rPr>
                <w:color w:val="auto"/>
              </w:rPr>
              <w:t>形式评审标准</w:t>
            </w:r>
          </w:p>
        </w:tc>
        <w:tc>
          <w:tcPr>
            <w:tcW w:w="1258" w:type="pct"/>
            <w:tcBorders>
              <w:left w:val="single" w:color="auto" w:sz="4" w:space="0"/>
            </w:tcBorders>
            <w:vAlign w:val="center"/>
          </w:tcPr>
          <w:p w14:paraId="3E812D08">
            <w:pPr>
              <w:pStyle w:val="54"/>
              <w:rPr>
                <w:rFonts w:hint="default"/>
                <w:color w:val="auto"/>
              </w:rPr>
            </w:pPr>
            <w:r>
              <w:rPr>
                <w:color w:val="auto"/>
              </w:rPr>
              <w:t>响应人名称</w:t>
            </w:r>
          </w:p>
        </w:tc>
        <w:tc>
          <w:tcPr>
            <w:tcW w:w="2575" w:type="pct"/>
          </w:tcPr>
          <w:p w14:paraId="6F96D19A">
            <w:pPr>
              <w:pStyle w:val="43"/>
              <w:ind w:firstLine="420"/>
              <w:rPr>
                <w:color w:val="auto"/>
              </w:rPr>
            </w:pPr>
            <w:r>
              <w:rPr>
                <w:rFonts w:hint="eastAsia"/>
                <w:color w:val="auto"/>
              </w:rPr>
              <w:t>与营业执照及资质证书一致</w:t>
            </w:r>
          </w:p>
        </w:tc>
      </w:tr>
      <w:tr w14:paraId="6E142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continue"/>
            <w:tcBorders>
              <w:top w:val="single" w:color="auto" w:sz="4" w:space="0"/>
              <w:left w:val="single" w:color="auto" w:sz="4" w:space="0"/>
              <w:bottom w:val="single" w:color="auto" w:sz="4" w:space="0"/>
            </w:tcBorders>
          </w:tcPr>
          <w:p w14:paraId="51A5E698">
            <w:pPr>
              <w:pStyle w:val="54"/>
              <w:rPr>
                <w:rFonts w:hint="default"/>
                <w:color w:val="auto"/>
              </w:rPr>
            </w:pPr>
          </w:p>
        </w:tc>
        <w:tc>
          <w:tcPr>
            <w:tcW w:w="654" w:type="pct"/>
            <w:vMerge w:val="continue"/>
            <w:tcBorders>
              <w:top w:val="single" w:color="auto" w:sz="4" w:space="0"/>
              <w:bottom w:val="single" w:color="auto" w:sz="4" w:space="0"/>
              <w:right w:val="single" w:color="auto" w:sz="4" w:space="0"/>
            </w:tcBorders>
          </w:tcPr>
          <w:p w14:paraId="37B87CDE">
            <w:pPr>
              <w:pStyle w:val="54"/>
              <w:rPr>
                <w:rFonts w:hint="default"/>
                <w:color w:val="auto"/>
              </w:rPr>
            </w:pPr>
          </w:p>
        </w:tc>
        <w:tc>
          <w:tcPr>
            <w:tcW w:w="1258" w:type="pct"/>
            <w:tcBorders>
              <w:left w:val="single" w:color="auto" w:sz="4" w:space="0"/>
            </w:tcBorders>
            <w:vAlign w:val="center"/>
          </w:tcPr>
          <w:p w14:paraId="206CFB97">
            <w:pPr>
              <w:pStyle w:val="54"/>
              <w:rPr>
                <w:rFonts w:hint="default"/>
                <w:color w:val="auto"/>
              </w:rPr>
            </w:pPr>
            <w:r>
              <w:rPr>
                <w:color w:val="auto"/>
              </w:rPr>
              <w:t>响应文件格式</w:t>
            </w:r>
          </w:p>
        </w:tc>
        <w:tc>
          <w:tcPr>
            <w:tcW w:w="2575" w:type="pct"/>
          </w:tcPr>
          <w:p w14:paraId="1E9ADFB1">
            <w:pPr>
              <w:pStyle w:val="43"/>
              <w:ind w:firstLine="420"/>
              <w:rPr>
                <w:color w:val="auto"/>
              </w:rPr>
            </w:pPr>
            <w:r>
              <w:rPr>
                <w:rFonts w:hint="eastAsia"/>
                <w:color w:val="auto"/>
              </w:rPr>
              <w:t>符合第六章“响应文件格式”的规定</w:t>
            </w:r>
          </w:p>
        </w:tc>
      </w:tr>
      <w:tr w14:paraId="27D90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511" w:type="pct"/>
            <w:vMerge w:val="restart"/>
            <w:tcBorders>
              <w:top w:val="single" w:color="auto" w:sz="4" w:space="0"/>
            </w:tcBorders>
            <w:vAlign w:val="center"/>
          </w:tcPr>
          <w:p w14:paraId="73C39D73">
            <w:pPr>
              <w:pStyle w:val="54"/>
              <w:rPr>
                <w:rFonts w:hint="default"/>
                <w:color w:val="auto"/>
              </w:rPr>
            </w:pPr>
            <w:r>
              <w:rPr>
                <w:color w:val="auto"/>
              </w:rPr>
              <w:t>2.1.2</w:t>
            </w:r>
          </w:p>
        </w:tc>
        <w:tc>
          <w:tcPr>
            <w:tcW w:w="654" w:type="pct"/>
            <w:vMerge w:val="restart"/>
            <w:tcBorders>
              <w:top w:val="single" w:color="auto" w:sz="4" w:space="0"/>
            </w:tcBorders>
            <w:vAlign w:val="center"/>
          </w:tcPr>
          <w:p w14:paraId="7DDC8E3E">
            <w:pPr>
              <w:pStyle w:val="54"/>
              <w:rPr>
                <w:rFonts w:hint="default"/>
                <w:color w:val="auto"/>
              </w:rPr>
            </w:pPr>
            <w:r>
              <w:rPr>
                <w:color w:val="auto"/>
              </w:rPr>
              <w:t>资格评审标准</w:t>
            </w:r>
          </w:p>
        </w:tc>
        <w:tc>
          <w:tcPr>
            <w:tcW w:w="1258" w:type="pct"/>
            <w:tcBorders>
              <w:bottom w:val="single" w:color="auto" w:sz="4" w:space="0"/>
            </w:tcBorders>
            <w:vAlign w:val="center"/>
          </w:tcPr>
          <w:p w14:paraId="667ACDFE">
            <w:pPr>
              <w:pStyle w:val="54"/>
              <w:rPr>
                <w:rFonts w:hint="default"/>
                <w:color w:val="auto"/>
              </w:rPr>
            </w:pPr>
            <w:r>
              <w:rPr>
                <w:color w:val="auto"/>
              </w:rPr>
              <w:t>资质条件</w:t>
            </w:r>
          </w:p>
        </w:tc>
        <w:tc>
          <w:tcPr>
            <w:tcW w:w="2575" w:type="pct"/>
            <w:vAlign w:val="center"/>
          </w:tcPr>
          <w:p w14:paraId="388D7F64">
            <w:pPr>
              <w:pStyle w:val="43"/>
              <w:ind w:firstLine="420"/>
              <w:rPr>
                <w:color w:val="auto"/>
              </w:rPr>
            </w:pPr>
            <w:r>
              <w:rPr>
                <w:rFonts w:hint="eastAsia"/>
                <w:color w:val="auto"/>
              </w:rPr>
              <w:t>符合第二章“响应人须知”第 1.4.1 项规定</w:t>
            </w:r>
          </w:p>
        </w:tc>
      </w:tr>
      <w:tr w14:paraId="5D1ED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511" w:type="pct"/>
            <w:vMerge w:val="continue"/>
            <w:tcBorders>
              <w:bottom w:val="single" w:color="auto" w:sz="4" w:space="0"/>
            </w:tcBorders>
            <w:vAlign w:val="center"/>
          </w:tcPr>
          <w:p w14:paraId="5EB87F65">
            <w:pPr>
              <w:pStyle w:val="54"/>
              <w:rPr>
                <w:rFonts w:hint="default"/>
                <w:color w:val="auto"/>
              </w:rPr>
            </w:pPr>
          </w:p>
        </w:tc>
        <w:tc>
          <w:tcPr>
            <w:tcW w:w="654" w:type="pct"/>
            <w:vMerge w:val="continue"/>
            <w:tcBorders>
              <w:bottom w:val="single" w:color="auto" w:sz="4" w:space="0"/>
            </w:tcBorders>
            <w:vAlign w:val="center"/>
          </w:tcPr>
          <w:p w14:paraId="52DCCFA2">
            <w:pPr>
              <w:pStyle w:val="54"/>
              <w:rPr>
                <w:rFonts w:hint="default"/>
                <w:color w:val="auto"/>
              </w:rPr>
            </w:pPr>
          </w:p>
        </w:tc>
        <w:tc>
          <w:tcPr>
            <w:tcW w:w="1258" w:type="pct"/>
            <w:tcBorders>
              <w:top w:val="single" w:color="auto" w:sz="4" w:space="0"/>
            </w:tcBorders>
            <w:vAlign w:val="center"/>
          </w:tcPr>
          <w:p w14:paraId="5A996481">
            <w:pPr>
              <w:pStyle w:val="54"/>
              <w:rPr>
                <w:rFonts w:hint="default"/>
                <w:color w:val="auto"/>
              </w:rPr>
            </w:pPr>
            <w:r>
              <w:rPr>
                <w:color w:val="auto"/>
              </w:rPr>
              <w:t>其他要求</w:t>
            </w:r>
          </w:p>
        </w:tc>
        <w:tc>
          <w:tcPr>
            <w:tcW w:w="2575" w:type="pct"/>
          </w:tcPr>
          <w:p w14:paraId="4A2B32FE">
            <w:pPr>
              <w:pStyle w:val="43"/>
              <w:ind w:firstLine="420"/>
              <w:rPr>
                <w:color w:val="auto"/>
              </w:rPr>
            </w:pPr>
            <w:r>
              <w:rPr>
                <w:rFonts w:hint="eastAsia"/>
                <w:color w:val="auto"/>
              </w:rPr>
              <w:t>符合第二章“响应人须知”第 1.4.1 项规定</w:t>
            </w:r>
          </w:p>
        </w:tc>
      </w:tr>
      <w:tr w14:paraId="1FA19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1" w:type="pct"/>
            <w:vMerge w:val="restart"/>
            <w:tcBorders>
              <w:top w:val="single" w:color="auto" w:sz="4" w:space="0"/>
            </w:tcBorders>
            <w:vAlign w:val="center"/>
          </w:tcPr>
          <w:p w14:paraId="245EB3F9">
            <w:pPr>
              <w:pStyle w:val="54"/>
              <w:rPr>
                <w:rFonts w:hint="default"/>
                <w:color w:val="auto"/>
              </w:rPr>
            </w:pPr>
            <w:bookmarkStart w:id="757" w:name="_Toc49247698"/>
            <w:r>
              <w:rPr>
                <w:color w:val="auto"/>
              </w:rPr>
              <w:t>2.1.3</w:t>
            </w:r>
          </w:p>
        </w:tc>
        <w:tc>
          <w:tcPr>
            <w:tcW w:w="654" w:type="pct"/>
            <w:vMerge w:val="restart"/>
            <w:tcBorders>
              <w:top w:val="single" w:color="auto" w:sz="4" w:space="0"/>
            </w:tcBorders>
            <w:vAlign w:val="center"/>
          </w:tcPr>
          <w:p w14:paraId="5F3297AD">
            <w:pPr>
              <w:pStyle w:val="54"/>
              <w:rPr>
                <w:rFonts w:hint="default"/>
                <w:color w:val="auto"/>
              </w:rPr>
            </w:pPr>
            <w:r>
              <w:rPr>
                <w:color w:val="auto"/>
              </w:rPr>
              <w:t>响应性评审 标准</w:t>
            </w:r>
          </w:p>
        </w:tc>
        <w:tc>
          <w:tcPr>
            <w:tcW w:w="1258" w:type="pct"/>
            <w:vAlign w:val="center"/>
          </w:tcPr>
          <w:p w14:paraId="71280259">
            <w:pPr>
              <w:pStyle w:val="54"/>
              <w:rPr>
                <w:rFonts w:hint="default"/>
                <w:color w:val="auto"/>
              </w:rPr>
            </w:pPr>
            <w:r>
              <w:rPr>
                <w:color w:val="auto"/>
              </w:rPr>
              <w:t>响应报价</w:t>
            </w:r>
          </w:p>
        </w:tc>
        <w:tc>
          <w:tcPr>
            <w:tcW w:w="2575" w:type="pct"/>
          </w:tcPr>
          <w:p w14:paraId="3F3CDBAC">
            <w:pPr>
              <w:pStyle w:val="43"/>
              <w:ind w:firstLine="420"/>
              <w:rPr>
                <w:color w:val="auto"/>
              </w:rPr>
            </w:pPr>
            <w:r>
              <w:rPr>
                <w:rFonts w:hint="eastAsia"/>
                <w:color w:val="auto"/>
              </w:rPr>
              <w:t>符合第二章“响应人须知”第 3.2 项规定</w:t>
            </w:r>
          </w:p>
        </w:tc>
      </w:tr>
      <w:tr w14:paraId="1F41B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1" w:type="pct"/>
            <w:vMerge w:val="continue"/>
            <w:vAlign w:val="center"/>
          </w:tcPr>
          <w:p w14:paraId="04565E2C">
            <w:pPr>
              <w:pStyle w:val="54"/>
              <w:rPr>
                <w:rFonts w:hint="default"/>
                <w:color w:val="auto"/>
              </w:rPr>
            </w:pPr>
          </w:p>
        </w:tc>
        <w:tc>
          <w:tcPr>
            <w:tcW w:w="654" w:type="pct"/>
            <w:vMerge w:val="continue"/>
            <w:vAlign w:val="center"/>
          </w:tcPr>
          <w:p w14:paraId="0883FC7E">
            <w:pPr>
              <w:pStyle w:val="54"/>
              <w:rPr>
                <w:rFonts w:hint="default"/>
                <w:color w:val="auto"/>
              </w:rPr>
            </w:pPr>
          </w:p>
        </w:tc>
        <w:tc>
          <w:tcPr>
            <w:tcW w:w="1258" w:type="pct"/>
            <w:vAlign w:val="center"/>
          </w:tcPr>
          <w:p w14:paraId="03F608A1">
            <w:pPr>
              <w:pStyle w:val="54"/>
              <w:rPr>
                <w:rFonts w:hint="default"/>
                <w:color w:val="auto"/>
              </w:rPr>
            </w:pPr>
            <w:r>
              <w:rPr>
                <w:color w:val="auto"/>
              </w:rPr>
              <w:t>响应内容</w:t>
            </w:r>
          </w:p>
        </w:tc>
        <w:tc>
          <w:tcPr>
            <w:tcW w:w="2575" w:type="pct"/>
          </w:tcPr>
          <w:p w14:paraId="14F36242">
            <w:pPr>
              <w:pStyle w:val="43"/>
              <w:ind w:firstLine="420"/>
              <w:rPr>
                <w:color w:val="auto"/>
              </w:rPr>
            </w:pPr>
            <w:r>
              <w:rPr>
                <w:rFonts w:hint="eastAsia"/>
                <w:color w:val="auto"/>
              </w:rPr>
              <w:t>符合第二章“响应人须知”第 1.3 项规定</w:t>
            </w:r>
          </w:p>
        </w:tc>
      </w:tr>
      <w:tr w14:paraId="6D9B1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continue"/>
            <w:vAlign w:val="center"/>
          </w:tcPr>
          <w:p w14:paraId="2909F25F">
            <w:pPr>
              <w:pStyle w:val="54"/>
              <w:rPr>
                <w:rFonts w:hint="default"/>
                <w:color w:val="auto"/>
              </w:rPr>
            </w:pPr>
          </w:p>
        </w:tc>
        <w:tc>
          <w:tcPr>
            <w:tcW w:w="654" w:type="pct"/>
            <w:vMerge w:val="continue"/>
            <w:vAlign w:val="center"/>
          </w:tcPr>
          <w:p w14:paraId="734C4ABE">
            <w:pPr>
              <w:pStyle w:val="54"/>
              <w:rPr>
                <w:rFonts w:hint="default"/>
                <w:color w:val="auto"/>
              </w:rPr>
            </w:pPr>
          </w:p>
        </w:tc>
        <w:tc>
          <w:tcPr>
            <w:tcW w:w="1258" w:type="pct"/>
            <w:vAlign w:val="center"/>
          </w:tcPr>
          <w:p w14:paraId="4EF1EE02">
            <w:pPr>
              <w:pStyle w:val="54"/>
              <w:rPr>
                <w:rFonts w:hint="default"/>
                <w:color w:val="auto"/>
              </w:rPr>
            </w:pPr>
            <w:r>
              <w:rPr>
                <w:color w:val="auto"/>
              </w:rPr>
              <w:t>响应保证金</w:t>
            </w:r>
          </w:p>
        </w:tc>
        <w:tc>
          <w:tcPr>
            <w:tcW w:w="2575" w:type="pct"/>
          </w:tcPr>
          <w:p w14:paraId="57E2C575">
            <w:pPr>
              <w:pStyle w:val="43"/>
              <w:ind w:firstLine="420"/>
              <w:rPr>
                <w:color w:val="auto"/>
              </w:rPr>
            </w:pPr>
            <w:r>
              <w:rPr>
                <w:rFonts w:hint="eastAsia"/>
                <w:color w:val="auto"/>
              </w:rPr>
              <w:t>符合第二章“响应人须知”第 3.4.1 项规定（响应保证金以重庆市公共资源交易中心开标现场获取的保证金交纳情况为准）</w:t>
            </w:r>
          </w:p>
        </w:tc>
      </w:tr>
      <w:tr w14:paraId="20461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5" w:type="pct"/>
            <w:gridSpan w:val="2"/>
            <w:vAlign w:val="center"/>
          </w:tcPr>
          <w:p w14:paraId="7604B5AF">
            <w:pPr>
              <w:pStyle w:val="54"/>
              <w:rPr>
                <w:rFonts w:hint="default"/>
                <w:color w:val="auto"/>
              </w:rPr>
            </w:pPr>
            <w:r>
              <w:rPr>
                <w:color w:val="auto"/>
              </w:rPr>
              <w:t>2.2.1</w:t>
            </w:r>
          </w:p>
        </w:tc>
        <w:tc>
          <w:tcPr>
            <w:tcW w:w="1258" w:type="pct"/>
            <w:vAlign w:val="center"/>
          </w:tcPr>
          <w:p w14:paraId="061C0565">
            <w:pPr>
              <w:pStyle w:val="54"/>
              <w:rPr>
                <w:rFonts w:hint="default"/>
                <w:color w:val="auto"/>
              </w:rPr>
            </w:pPr>
            <w:r>
              <w:rPr>
                <w:color w:val="auto"/>
              </w:rPr>
              <w:t>分值构成</w:t>
            </w:r>
          </w:p>
          <w:p w14:paraId="0A3B4DF8">
            <w:pPr>
              <w:pStyle w:val="54"/>
              <w:rPr>
                <w:rFonts w:hint="default"/>
                <w:color w:val="auto"/>
              </w:rPr>
            </w:pPr>
            <w:r>
              <w:rPr>
                <w:color w:val="auto"/>
              </w:rPr>
              <w:t>(总分 100 分)</w:t>
            </w:r>
          </w:p>
        </w:tc>
        <w:tc>
          <w:tcPr>
            <w:tcW w:w="2575" w:type="pct"/>
          </w:tcPr>
          <w:p w14:paraId="5F55CB7F">
            <w:pPr>
              <w:pStyle w:val="43"/>
              <w:ind w:firstLine="420"/>
              <w:rPr>
                <w:color w:val="auto"/>
              </w:rPr>
            </w:pPr>
            <w:r>
              <w:rPr>
                <w:rFonts w:hint="eastAsia"/>
                <w:color w:val="auto"/>
              </w:rPr>
              <w:t>商务部分： 45 分</w:t>
            </w:r>
          </w:p>
          <w:p w14:paraId="5138B0FA">
            <w:pPr>
              <w:pStyle w:val="43"/>
              <w:ind w:firstLine="420"/>
              <w:rPr>
                <w:color w:val="auto"/>
              </w:rPr>
            </w:pPr>
            <w:r>
              <w:rPr>
                <w:rFonts w:hint="eastAsia"/>
                <w:color w:val="auto"/>
              </w:rPr>
              <w:t>技术部分： 5 分</w:t>
            </w:r>
          </w:p>
          <w:p w14:paraId="20C6F4CB">
            <w:pPr>
              <w:pStyle w:val="43"/>
              <w:ind w:firstLine="420"/>
              <w:rPr>
                <w:color w:val="auto"/>
              </w:rPr>
            </w:pPr>
            <w:r>
              <w:rPr>
                <w:rFonts w:hint="eastAsia"/>
                <w:color w:val="auto"/>
              </w:rPr>
              <w:t>响应报价： 50 分</w:t>
            </w:r>
          </w:p>
        </w:tc>
      </w:tr>
      <w:tr w14:paraId="1A956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restart"/>
            <w:vAlign w:val="center"/>
          </w:tcPr>
          <w:p w14:paraId="27910232">
            <w:pPr>
              <w:pStyle w:val="54"/>
              <w:rPr>
                <w:rFonts w:hint="default"/>
                <w:color w:val="auto"/>
              </w:rPr>
            </w:pPr>
            <w:r>
              <w:rPr>
                <w:color w:val="auto"/>
              </w:rPr>
              <w:t>2.2.2</w:t>
            </w:r>
          </w:p>
          <w:p w14:paraId="5C9B1A2E">
            <w:pPr>
              <w:pStyle w:val="54"/>
              <w:rPr>
                <w:rFonts w:hint="default"/>
                <w:color w:val="auto"/>
              </w:rPr>
            </w:pPr>
            <w:r>
              <w:rPr>
                <w:color w:val="auto"/>
              </w:rPr>
              <w:t>（1）</w:t>
            </w:r>
          </w:p>
        </w:tc>
        <w:tc>
          <w:tcPr>
            <w:tcW w:w="654" w:type="pct"/>
            <w:vMerge w:val="restart"/>
            <w:vAlign w:val="center"/>
          </w:tcPr>
          <w:p w14:paraId="38A14163">
            <w:pPr>
              <w:pStyle w:val="54"/>
              <w:rPr>
                <w:rFonts w:hint="default"/>
                <w:color w:val="auto"/>
              </w:rPr>
            </w:pPr>
            <w:r>
              <w:rPr>
                <w:color w:val="auto"/>
              </w:rPr>
              <w:t>商务评分标准（A）</w:t>
            </w:r>
          </w:p>
        </w:tc>
        <w:tc>
          <w:tcPr>
            <w:tcW w:w="1258" w:type="pct"/>
            <w:vAlign w:val="center"/>
          </w:tcPr>
          <w:p w14:paraId="7E580118">
            <w:pPr>
              <w:pStyle w:val="54"/>
              <w:rPr>
                <w:rFonts w:hint="default"/>
                <w:color w:val="auto"/>
              </w:rPr>
            </w:pPr>
            <w:r>
              <w:rPr>
                <w:color w:val="auto"/>
              </w:rPr>
              <w:t>响应人资质</w:t>
            </w:r>
          </w:p>
          <w:p w14:paraId="6BA4E93D">
            <w:pPr>
              <w:pStyle w:val="54"/>
              <w:rPr>
                <w:rFonts w:hint="default"/>
                <w:color w:val="auto"/>
              </w:rPr>
            </w:pPr>
            <w:r>
              <w:rPr>
                <w:color w:val="auto"/>
              </w:rPr>
              <w:t>（分值：5分）</w:t>
            </w:r>
          </w:p>
        </w:tc>
        <w:tc>
          <w:tcPr>
            <w:tcW w:w="2575" w:type="pct"/>
          </w:tcPr>
          <w:p w14:paraId="3AAE41B4">
            <w:pPr>
              <w:pStyle w:val="43"/>
              <w:rPr>
                <w:b/>
                <w:bCs w:val="0"/>
                <w:color w:val="auto"/>
              </w:rPr>
            </w:pPr>
            <w:r>
              <w:rPr>
                <w:rFonts w:hint="eastAsia"/>
                <w:b/>
                <w:bCs w:val="0"/>
                <w:color w:val="auto"/>
              </w:rPr>
              <w:t>企业资质（分值：5分）</w:t>
            </w:r>
          </w:p>
          <w:p w14:paraId="140F8E00">
            <w:pPr>
              <w:pStyle w:val="43"/>
              <w:ind w:firstLine="420"/>
              <w:rPr>
                <w:color w:val="auto"/>
              </w:rPr>
            </w:pPr>
            <w:r>
              <w:rPr>
                <w:rFonts w:hint="eastAsia"/>
                <w:color w:val="auto"/>
              </w:rPr>
              <w:t>响应人具备以下企业资质（需提供证书/产品软件著作权证书扫描件），满足条件计分，满分5分：</w:t>
            </w:r>
          </w:p>
          <w:p w14:paraId="08831B79">
            <w:pPr>
              <w:pStyle w:val="43"/>
              <w:ind w:firstLine="420"/>
              <w:rPr>
                <w:color w:val="auto"/>
              </w:rPr>
            </w:pPr>
            <w:r>
              <w:rPr>
                <w:rFonts w:hint="eastAsia"/>
                <w:color w:val="auto"/>
              </w:rPr>
              <w:t>（1）具备ISO9001（质量管理）认证得1分；</w:t>
            </w:r>
          </w:p>
          <w:p w14:paraId="0D9FAB4C">
            <w:pPr>
              <w:pStyle w:val="43"/>
              <w:ind w:firstLine="420"/>
              <w:rPr>
                <w:color w:val="auto"/>
              </w:rPr>
            </w:pPr>
            <w:r>
              <w:rPr>
                <w:rFonts w:hint="eastAsia"/>
                <w:color w:val="auto"/>
              </w:rPr>
              <w:t>（2）具备ISO20000（服务管理）认证得1分；</w:t>
            </w:r>
          </w:p>
          <w:p w14:paraId="4D11EC8B">
            <w:pPr>
              <w:pStyle w:val="43"/>
              <w:ind w:firstLine="420"/>
              <w:rPr>
                <w:color w:val="auto"/>
              </w:rPr>
            </w:pPr>
            <w:r>
              <w:rPr>
                <w:rFonts w:hint="eastAsia"/>
                <w:color w:val="auto"/>
              </w:rPr>
              <w:t>（3）具备ISO27001（信息安全管理）认证得1分；</w:t>
            </w:r>
          </w:p>
          <w:p w14:paraId="509FBE59">
            <w:pPr>
              <w:pStyle w:val="43"/>
              <w:ind w:firstLine="420"/>
              <w:rPr>
                <w:color w:val="auto"/>
              </w:rPr>
            </w:pPr>
            <w:r>
              <w:rPr>
                <w:rFonts w:hint="eastAsia"/>
                <w:color w:val="auto"/>
              </w:rPr>
              <w:t>（4）具备CMMI5级及以上认证得1分；</w:t>
            </w:r>
          </w:p>
          <w:p w14:paraId="30351201">
            <w:pPr>
              <w:pStyle w:val="43"/>
              <w:ind w:firstLine="420"/>
              <w:rPr>
                <w:color w:val="auto"/>
              </w:rPr>
            </w:pPr>
            <w:r>
              <w:rPr>
                <w:rFonts w:hint="eastAsia"/>
                <w:color w:val="auto"/>
              </w:rPr>
              <w:t>（5）具备相关产品软件著作权证书（证书名称包含“移动作业”、“移动柜面”、“移动发卡”、“移动金融”、“移动平台”、“移动展业”、“移动银行展业”、“移动金融展业”、“移动数字展业”等关键字），得1分。</w:t>
            </w:r>
          </w:p>
        </w:tc>
      </w:tr>
      <w:tr w14:paraId="76F27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Merge w:val="continue"/>
          </w:tcPr>
          <w:p w14:paraId="1C1E95CB">
            <w:pPr>
              <w:pStyle w:val="54"/>
              <w:rPr>
                <w:rFonts w:hint="default"/>
                <w:color w:val="auto"/>
              </w:rPr>
            </w:pPr>
          </w:p>
        </w:tc>
        <w:tc>
          <w:tcPr>
            <w:tcW w:w="654" w:type="pct"/>
            <w:vMerge w:val="continue"/>
          </w:tcPr>
          <w:p w14:paraId="5EE34E8A">
            <w:pPr>
              <w:pStyle w:val="54"/>
              <w:rPr>
                <w:rFonts w:hint="default"/>
                <w:color w:val="auto"/>
              </w:rPr>
            </w:pPr>
          </w:p>
        </w:tc>
        <w:tc>
          <w:tcPr>
            <w:tcW w:w="1258" w:type="pct"/>
            <w:vAlign w:val="center"/>
          </w:tcPr>
          <w:p w14:paraId="10B8E420">
            <w:pPr>
              <w:pStyle w:val="54"/>
              <w:rPr>
                <w:rFonts w:hint="default"/>
                <w:color w:val="auto"/>
              </w:rPr>
            </w:pPr>
            <w:r>
              <w:rPr>
                <w:color w:val="auto"/>
              </w:rPr>
              <w:t>服务能力</w:t>
            </w:r>
          </w:p>
          <w:p w14:paraId="3151E7E4">
            <w:pPr>
              <w:pStyle w:val="54"/>
              <w:rPr>
                <w:rFonts w:hint="default"/>
                <w:color w:val="auto"/>
              </w:rPr>
            </w:pPr>
            <w:r>
              <w:rPr>
                <w:color w:val="auto"/>
              </w:rPr>
              <w:t>（分值：10分）</w:t>
            </w:r>
          </w:p>
        </w:tc>
        <w:tc>
          <w:tcPr>
            <w:tcW w:w="2575" w:type="pct"/>
          </w:tcPr>
          <w:p w14:paraId="76F4CCA1">
            <w:pPr>
              <w:pStyle w:val="43"/>
              <w:ind w:firstLine="420"/>
              <w:rPr>
                <w:color w:val="auto"/>
              </w:rPr>
            </w:pPr>
            <w:r>
              <w:rPr>
                <w:rFonts w:hint="eastAsia"/>
                <w:color w:val="auto"/>
              </w:rPr>
              <w:t>服务能力（分值：10分）</w:t>
            </w:r>
          </w:p>
          <w:p w14:paraId="0973AF39">
            <w:pPr>
              <w:pStyle w:val="43"/>
              <w:ind w:firstLine="420"/>
              <w:rPr>
                <w:color w:val="auto"/>
              </w:rPr>
            </w:pPr>
            <w:r>
              <w:rPr>
                <w:rFonts w:hint="eastAsia"/>
                <w:color w:val="auto"/>
              </w:rPr>
              <w:t>（1）项目经理（至少1人）：具备5年（含）以上类似系统项目管理经验，且具有5个（含）以上银行业类似移动作业系统建设项目管理实施经验，得1分；具备信息系统项目管理师证书（高级）或PMP（项目管理专业人士资格认证），得1分；满分2分；</w:t>
            </w:r>
          </w:p>
          <w:p w14:paraId="61CA5264">
            <w:pPr>
              <w:pStyle w:val="43"/>
              <w:ind w:firstLine="420"/>
              <w:rPr>
                <w:color w:val="auto"/>
              </w:rPr>
            </w:pPr>
            <w:r>
              <w:rPr>
                <w:rFonts w:hint="eastAsia"/>
                <w:color w:val="auto"/>
              </w:rPr>
              <w:t>（2）系统架构师（至少1人）：具备5年（含）以上软件开发及架构和设计经验，且具有在3个（含）以上类似银行移动作业系统建设项目中担任架构师岗位的项目实施经验，得1分：具备系统架构设计师证书（高级）或系统分析师证书（高级），得1分；满分2分；</w:t>
            </w:r>
          </w:p>
          <w:p w14:paraId="33C4B437">
            <w:pPr>
              <w:pStyle w:val="43"/>
              <w:ind w:firstLine="420"/>
              <w:rPr>
                <w:color w:val="auto"/>
              </w:rPr>
            </w:pPr>
            <w:r>
              <w:rPr>
                <w:rFonts w:hint="eastAsia"/>
                <w:color w:val="auto"/>
              </w:rPr>
              <w:t>（3）现场开发（至少4人）：具备3年（含）以上银行业项目从业经验，且参加过2个（含）以上类似银行移动作业系统建设项目，得2分；满分2分；</w:t>
            </w:r>
          </w:p>
          <w:p w14:paraId="0CD50188">
            <w:pPr>
              <w:pStyle w:val="43"/>
              <w:ind w:firstLine="420"/>
              <w:rPr>
                <w:color w:val="auto"/>
              </w:rPr>
            </w:pPr>
            <w:r>
              <w:rPr>
                <w:rFonts w:hint="eastAsia"/>
                <w:color w:val="auto"/>
              </w:rPr>
              <w:t>（4）现场测试人员（至少2人）：具备3年（含）以上银行业项目从业经验，参加过2个（含）以上类似银行移动作业系统建设项目，得2分，满分2分；</w:t>
            </w:r>
          </w:p>
          <w:p w14:paraId="466DDF65">
            <w:pPr>
              <w:pStyle w:val="43"/>
              <w:ind w:firstLine="420"/>
              <w:rPr>
                <w:color w:val="auto"/>
              </w:rPr>
            </w:pPr>
            <w:r>
              <w:rPr>
                <w:rFonts w:hint="eastAsia"/>
                <w:color w:val="auto"/>
              </w:rPr>
              <w:t>（5）团队80%以上技术人员具有5年及以上本公司产品实施项目经验，满足得2分。</w:t>
            </w:r>
          </w:p>
          <w:p w14:paraId="4F2B7EC9">
            <w:pPr>
              <w:pStyle w:val="43"/>
              <w:ind w:firstLine="420"/>
              <w:rPr>
                <w:color w:val="auto"/>
              </w:rPr>
            </w:pPr>
            <w:r>
              <w:rPr>
                <w:rFonts w:hint="eastAsia"/>
                <w:color w:val="auto"/>
              </w:rPr>
              <w:t>响应人提供：</w:t>
            </w:r>
          </w:p>
          <w:p w14:paraId="61E0C11B">
            <w:pPr>
              <w:pStyle w:val="43"/>
              <w:ind w:firstLine="420"/>
              <w:rPr>
                <w:color w:val="auto"/>
              </w:rPr>
            </w:pPr>
            <w:r>
              <w:rPr>
                <w:rFonts w:hint="eastAsia"/>
                <w:color w:val="auto"/>
              </w:rPr>
              <w:t>1、项目组全体人员名单；</w:t>
            </w:r>
          </w:p>
          <w:p w14:paraId="57F2228C">
            <w:pPr>
              <w:pStyle w:val="43"/>
              <w:ind w:firstLine="420"/>
              <w:rPr>
                <w:color w:val="auto"/>
              </w:rPr>
            </w:pPr>
            <w:r>
              <w:rPr>
                <w:rFonts w:hint="eastAsia"/>
                <w:color w:val="auto"/>
              </w:rPr>
              <w:t>2、项目组成员简历信息；</w:t>
            </w:r>
          </w:p>
          <w:p w14:paraId="56F6C5AC">
            <w:pPr>
              <w:pStyle w:val="43"/>
              <w:ind w:firstLine="420"/>
              <w:rPr>
                <w:color w:val="auto"/>
              </w:rPr>
            </w:pPr>
            <w:r>
              <w:rPr>
                <w:rFonts w:hint="eastAsia"/>
                <w:color w:val="auto"/>
              </w:rPr>
              <w:t>3、简历中的工作经验年限需提供个人社保缴费记录。</w:t>
            </w:r>
          </w:p>
          <w:p w14:paraId="4B851810">
            <w:pPr>
              <w:pStyle w:val="43"/>
              <w:ind w:firstLine="420"/>
              <w:rPr>
                <w:color w:val="auto"/>
              </w:rPr>
            </w:pPr>
            <w:r>
              <w:rPr>
                <w:rFonts w:hint="eastAsia"/>
                <w:color w:val="auto"/>
              </w:rPr>
              <w:t>4、工作经历提供相应的证明材料，包含但不限于满足要求的案例合同中的项目组成员名单或盖有合作方公章的证明材料等。</w:t>
            </w:r>
          </w:p>
          <w:p w14:paraId="2CBE2EC3">
            <w:pPr>
              <w:pStyle w:val="43"/>
              <w:ind w:firstLine="420"/>
              <w:rPr>
                <w:color w:val="auto"/>
              </w:rPr>
            </w:pPr>
            <w:r>
              <w:rPr>
                <w:rFonts w:hint="eastAsia"/>
                <w:color w:val="auto"/>
              </w:rPr>
              <w:t>5、近半年公司（2026年</w:t>
            </w:r>
            <w:r>
              <w:rPr>
                <w:rFonts w:hint="eastAsia"/>
                <w:color w:val="auto"/>
                <w:lang w:val="en-US" w:eastAsia="zh-CN"/>
              </w:rPr>
              <w:t>2</w:t>
            </w:r>
            <w:r>
              <w:rPr>
                <w:rFonts w:hint="eastAsia"/>
                <w:color w:val="auto"/>
              </w:rPr>
              <w:t>月至2026年</w:t>
            </w:r>
            <w:r>
              <w:rPr>
                <w:rFonts w:hint="eastAsia"/>
                <w:color w:val="auto"/>
                <w:lang w:val="en-US" w:eastAsia="zh-CN"/>
              </w:rPr>
              <w:t>7</w:t>
            </w:r>
            <w:r>
              <w:rPr>
                <w:rFonts w:hint="eastAsia"/>
                <w:color w:val="auto"/>
              </w:rPr>
              <w:t>月）为项目组成员缴纳社保的证明材料。缴费单位为响应人或其分公司，均认定有效；若通过第三方公司代缴（该情形视为缴费渠道委托，不视为人员外包），除社保证明外，还须提供响应人与代缴单位签订的代缴协议或合同扫描件。</w:t>
            </w:r>
          </w:p>
          <w:p w14:paraId="341CD877">
            <w:pPr>
              <w:pStyle w:val="43"/>
              <w:ind w:firstLine="420"/>
              <w:rPr>
                <w:color w:val="auto"/>
              </w:rPr>
            </w:pPr>
            <w:r>
              <w:rPr>
                <w:rFonts w:hint="eastAsia"/>
                <w:color w:val="auto"/>
              </w:rPr>
              <w:t>以上材料，如提供的材料中某人不满足要求的，则该人员在对应项不得分。如响应人未提供或提供的整体性材料（如：人员名单、公司社保材料）有误，则“服务能力”不计分。</w:t>
            </w:r>
          </w:p>
        </w:tc>
      </w:tr>
      <w:tr w14:paraId="03019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511" w:type="pct"/>
            <w:vMerge w:val="continue"/>
            <w:vAlign w:val="center"/>
          </w:tcPr>
          <w:p w14:paraId="271EBB06">
            <w:pPr>
              <w:pStyle w:val="54"/>
              <w:rPr>
                <w:rFonts w:hint="default"/>
                <w:color w:val="auto"/>
              </w:rPr>
            </w:pPr>
          </w:p>
        </w:tc>
        <w:tc>
          <w:tcPr>
            <w:tcW w:w="654" w:type="pct"/>
            <w:vMerge w:val="continue"/>
            <w:vAlign w:val="center"/>
          </w:tcPr>
          <w:p w14:paraId="42CF7716">
            <w:pPr>
              <w:pStyle w:val="54"/>
              <w:rPr>
                <w:rFonts w:hint="default"/>
                <w:color w:val="auto"/>
              </w:rPr>
            </w:pPr>
          </w:p>
        </w:tc>
        <w:tc>
          <w:tcPr>
            <w:tcW w:w="1258" w:type="pct"/>
            <w:vAlign w:val="center"/>
          </w:tcPr>
          <w:p w14:paraId="7005AD7C">
            <w:pPr>
              <w:pStyle w:val="54"/>
              <w:tabs>
                <w:tab w:val="left" w:pos="466"/>
              </w:tabs>
              <w:rPr>
                <w:rFonts w:hint="default"/>
                <w:color w:val="auto"/>
              </w:rPr>
            </w:pPr>
            <w:r>
              <w:rPr>
                <w:color w:val="auto"/>
              </w:rPr>
              <w:t>实施案例</w:t>
            </w:r>
          </w:p>
          <w:p w14:paraId="1B3ACA24">
            <w:pPr>
              <w:pStyle w:val="54"/>
              <w:rPr>
                <w:rFonts w:hint="default"/>
                <w:color w:val="auto"/>
              </w:rPr>
            </w:pPr>
            <w:r>
              <w:rPr>
                <w:color w:val="auto"/>
              </w:rPr>
              <w:t>（分值：20分）</w:t>
            </w:r>
          </w:p>
        </w:tc>
        <w:tc>
          <w:tcPr>
            <w:tcW w:w="2575" w:type="pct"/>
          </w:tcPr>
          <w:p w14:paraId="7EB4DBBE">
            <w:pPr>
              <w:pStyle w:val="43"/>
              <w:ind w:firstLine="420"/>
              <w:rPr>
                <w:color w:val="auto"/>
              </w:rPr>
            </w:pPr>
            <w:r>
              <w:rPr>
                <w:rFonts w:hint="eastAsia"/>
                <w:color w:val="auto"/>
              </w:rPr>
              <w:t>实施案例（分值：20分）</w:t>
            </w:r>
          </w:p>
          <w:p w14:paraId="79FB591D">
            <w:pPr>
              <w:pStyle w:val="43"/>
              <w:ind w:firstLine="420"/>
              <w:rPr>
                <w:color w:val="auto"/>
              </w:rPr>
            </w:pPr>
            <w:r>
              <w:rPr>
                <w:rFonts w:hint="eastAsia"/>
                <w:color w:val="auto"/>
              </w:rPr>
              <w:t>响应人提供有效银行业移动作业（展业）应用项目案例（案例合同内项目名称或建设内容应包含但不限于“移动作业”、“移动柜面”、“移动发卡”、“移动金融”、“移动平台”、“移动展业”、“移动银行展业”、“移动金融展业”、“移动数字展业”等字样或合同中内容经评审委员会认定其实质性工作内容与“移动作业系统”工作内容相符）进行计分，最多20分。</w:t>
            </w:r>
          </w:p>
          <w:p w14:paraId="183F2F47">
            <w:pPr>
              <w:pStyle w:val="43"/>
              <w:ind w:firstLine="420"/>
              <w:rPr>
                <w:color w:val="auto"/>
              </w:rPr>
            </w:pPr>
            <w:r>
              <w:rPr>
                <w:rFonts w:hint="eastAsia"/>
                <w:color w:val="auto"/>
              </w:rPr>
              <w:t>计分规则如下：</w:t>
            </w:r>
          </w:p>
          <w:p w14:paraId="7C926E35">
            <w:pPr>
              <w:pStyle w:val="43"/>
              <w:ind w:firstLine="420"/>
              <w:rPr>
                <w:color w:val="auto"/>
              </w:rPr>
            </w:pPr>
            <w:r>
              <w:rPr>
                <w:rFonts w:hint="eastAsia"/>
                <w:color w:val="auto"/>
              </w:rPr>
              <w:t>（1）具有银行业移动应用的项目案例，每个案例得0.75分，满分15分；</w:t>
            </w:r>
          </w:p>
          <w:p w14:paraId="1063434E">
            <w:pPr>
              <w:pStyle w:val="43"/>
              <w:ind w:firstLine="420"/>
              <w:rPr>
                <w:color w:val="auto"/>
              </w:rPr>
            </w:pPr>
            <w:r>
              <w:rPr>
                <w:rFonts w:hint="eastAsia"/>
                <w:color w:val="auto"/>
              </w:rPr>
              <w:t>（2）上述实施案例中，若存在3个及以上（含3个）国有大行或全国股份制银行案例得2分，1-2个国有大行或全国股份制银行案例得1分，没有不得分，满分2分；</w:t>
            </w:r>
          </w:p>
          <w:p w14:paraId="6BC1A8A1">
            <w:pPr>
              <w:pStyle w:val="43"/>
              <w:ind w:firstLine="420"/>
              <w:rPr>
                <w:color w:val="auto"/>
              </w:rPr>
            </w:pPr>
            <w:r>
              <w:rPr>
                <w:rFonts w:hint="eastAsia"/>
                <w:color w:val="auto"/>
              </w:rPr>
              <w:t>（3）在上述实施案例中，若存在国产化部署案例，每个案例得0.5分，满分1分。</w:t>
            </w:r>
          </w:p>
          <w:p w14:paraId="5D201648">
            <w:pPr>
              <w:pStyle w:val="43"/>
              <w:ind w:firstLine="420"/>
              <w:rPr>
                <w:color w:val="auto"/>
              </w:rPr>
            </w:pPr>
            <w:r>
              <w:rPr>
                <w:rFonts w:hint="eastAsia"/>
                <w:color w:val="auto"/>
              </w:rPr>
              <w:t>（4）在上述实施案例中，若存在鸿蒙系统应用部署案例，每个案例得0.5分，满分2分。</w:t>
            </w:r>
          </w:p>
          <w:p w14:paraId="6A0B6D2D">
            <w:pPr>
              <w:pStyle w:val="43"/>
              <w:ind w:firstLine="420"/>
              <w:rPr>
                <w:color w:val="auto"/>
              </w:rPr>
            </w:pPr>
            <w:r>
              <w:rPr>
                <w:rFonts w:hint="eastAsia"/>
                <w:color w:val="auto"/>
              </w:rPr>
              <w:t>有效案例需同时满足以下条件：</w:t>
            </w:r>
          </w:p>
          <w:p w14:paraId="4765EAA2">
            <w:pPr>
              <w:pStyle w:val="43"/>
              <w:ind w:firstLine="420"/>
              <w:rPr>
                <w:color w:val="auto"/>
              </w:rPr>
            </w:pPr>
            <w:r>
              <w:rPr>
                <w:rFonts w:hint="eastAsia"/>
                <w:color w:val="auto"/>
              </w:rPr>
              <w:t>（1）自2023年1月1日起至202</w:t>
            </w:r>
            <w:r>
              <w:rPr>
                <w:rFonts w:hint="eastAsia"/>
                <w:color w:val="auto"/>
                <w:lang w:val="en-US" w:eastAsia="zh-CN"/>
              </w:rPr>
              <w:t>6</w:t>
            </w:r>
            <w:r>
              <w:rPr>
                <w:rFonts w:hint="eastAsia"/>
                <w:color w:val="auto"/>
              </w:rPr>
              <w:t>年</w:t>
            </w:r>
            <w:r>
              <w:rPr>
                <w:rFonts w:hint="eastAsia"/>
                <w:color w:val="auto"/>
                <w:lang w:val="en-US" w:eastAsia="zh-CN"/>
              </w:rPr>
              <w:t>7</w:t>
            </w:r>
            <w:r>
              <w:rPr>
                <w:rFonts w:hint="eastAsia"/>
                <w:color w:val="auto"/>
              </w:rPr>
              <w:t>月</w:t>
            </w:r>
            <w:r>
              <w:rPr>
                <w:rFonts w:hint="eastAsia"/>
                <w:color w:val="auto"/>
                <w:lang w:val="en-US" w:eastAsia="zh-CN"/>
              </w:rPr>
              <w:t>3</w:t>
            </w:r>
            <w:r>
              <w:rPr>
                <w:rFonts w:hint="eastAsia"/>
                <w:color w:val="auto"/>
              </w:rPr>
              <w:t>1日</w:t>
            </w:r>
            <w:r>
              <w:rPr>
                <w:rFonts w:hint="eastAsia"/>
                <w:color w:val="auto"/>
                <w:lang w:val="en-US" w:eastAsia="zh-CN"/>
              </w:rPr>
              <w:t>止</w:t>
            </w:r>
            <w:r>
              <w:rPr>
                <w:rFonts w:hint="eastAsia"/>
                <w:color w:val="auto"/>
              </w:rPr>
              <w:t>（以合同签订时间为准）的银行移动应用系统相关实施案例。</w:t>
            </w:r>
          </w:p>
          <w:p w14:paraId="04E0B6B3">
            <w:pPr>
              <w:pStyle w:val="43"/>
              <w:ind w:firstLine="420"/>
              <w:rPr>
                <w:color w:val="auto"/>
              </w:rPr>
            </w:pPr>
            <w:r>
              <w:rPr>
                <w:rFonts w:hint="eastAsia"/>
                <w:color w:val="auto"/>
              </w:rPr>
              <w:t>（2）案例须同时提供合同对应的发票之一及合同关键页扫描件。合同关键页包括甲乙双方名称、双方印章、项目/产品的名称、需求范围、合同签订时间等。合同对应的发票需同时提供网上税务系统查询发票截图（网上税务系统（https://inv-veri.chinatax.gov.cn/），查询发票截图应与合同发票数量及编码一致。发票应同时满足：开票日期晚于合同签订日期；发票购买方与合同买方一致；发票销售方与合同卖方（响应人）一致。</w:t>
            </w:r>
          </w:p>
          <w:p w14:paraId="4907CBBC">
            <w:pPr>
              <w:pStyle w:val="43"/>
              <w:ind w:firstLine="420"/>
              <w:rPr>
                <w:color w:val="auto"/>
              </w:rPr>
            </w:pPr>
            <w:r>
              <w:rPr>
                <w:rFonts w:hint="eastAsia"/>
                <w:color w:val="auto"/>
              </w:rPr>
              <w:t>（3）资格要求中要求的案例不纳入评审。</w:t>
            </w:r>
          </w:p>
          <w:p w14:paraId="699EA345">
            <w:pPr>
              <w:pStyle w:val="43"/>
              <w:ind w:firstLine="420"/>
              <w:rPr>
                <w:color w:val="auto"/>
              </w:rPr>
            </w:pPr>
            <w:r>
              <w:rPr>
                <w:rFonts w:hint="eastAsia"/>
                <w:color w:val="auto"/>
              </w:rPr>
              <w:t>评审依据：</w:t>
            </w:r>
          </w:p>
          <w:p w14:paraId="7884C39B">
            <w:pPr>
              <w:pStyle w:val="43"/>
              <w:ind w:firstLine="420"/>
              <w:rPr>
                <w:color w:val="auto"/>
              </w:rPr>
            </w:pPr>
            <w:r>
              <w:rPr>
                <w:rFonts w:hint="eastAsia"/>
                <w:color w:val="auto"/>
              </w:rPr>
              <w:t>（1）同一家建设单位的多个项目只计算一个案例；计分按有效案例的最高得分计分，不重复计分。</w:t>
            </w:r>
          </w:p>
          <w:p w14:paraId="24542CCB">
            <w:pPr>
              <w:pStyle w:val="43"/>
              <w:ind w:firstLine="420"/>
              <w:rPr>
                <w:color w:val="auto"/>
              </w:rPr>
            </w:pPr>
            <w:r>
              <w:rPr>
                <w:rFonts w:hint="eastAsia"/>
                <w:color w:val="auto"/>
              </w:rPr>
              <w:t>（2）国有大行指：中国工商银行、中国农业银行、中国银行、中国建设银行、交通银行、中国邮政储蓄银行；全国性股份制银行指：招商银行、浦发银行、中信银行、光大银行、华夏银行、民生银行、广发银行、兴业银行、平安银行、浙商银行、恒丰银行和渤海银行。</w:t>
            </w:r>
          </w:p>
          <w:p w14:paraId="5EF30164">
            <w:pPr>
              <w:pStyle w:val="43"/>
              <w:ind w:firstLine="420"/>
              <w:rPr>
                <w:color w:val="auto"/>
              </w:rPr>
            </w:pPr>
            <w:r>
              <w:rPr>
                <w:rFonts w:hint="eastAsia"/>
                <w:color w:val="auto"/>
              </w:rPr>
              <w:t>（3）国产化适配实施案例需满足以下任一条件：合同项目名称或建设内容中明确体现适配国产操作系统、中间件、数据库，或提供相关厂家针对响应产品出具的软件授权适配证明（需包含操作系统、中间件、数据库授权）。</w:t>
            </w:r>
          </w:p>
          <w:p w14:paraId="2A75B52E">
            <w:pPr>
              <w:pStyle w:val="43"/>
              <w:ind w:firstLine="420"/>
              <w:rPr>
                <w:color w:val="auto"/>
              </w:rPr>
            </w:pPr>
            <w:r>
              <w:rPr>
                <w:rFonts w:hint="eastAsia"/>
                <w:color w:val="auto"/>
              </w:rPr>
              <w:t>*注：以上证明文件若采购人存疑，响应人需提供原件备查，响应文件中须附相关证明文件，案例证明需提供甲方联系方式备查。</w:t>
            </w:r>
          </w:p>
        </w:tc>
      </w:tr>
      <w:tr w14:paraId="55A29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511" w:type="pct"/>
            <w:vMerge w:val="continue"/>
            <w:vAlign w:val="center"/>
          </w:tcPr>
          <w:p w14:paraId="5880B443">
            <w:pPr>
              <w:pStyle w:val="43"/>
              <w:ind w:firstLine="420"/>
              <w:rPr>
                <w:color w:val="auto"/>
              </w:rPr>
            </w:pPr>
          </w:p>
        </w:tc>
        <w:tc>
          <w:tcPr>
            <w:tcW w:w="654" w:type="pct"/>
            <w:vMerge w:val="continue"/>
            <w:vAlign w:val="center"/>
          </w:tcPr>
          <w:p w14:paraId="14724530">
            <w:pPr>
              <w:pStyle w:val="43"/>
              <w:ind w:firstLine="420"/>
              <w:rPr>
                <w:color w:val="auto"/>
              </w:rPr>
            </w:pPr>
          </w:p>
        </w:tc>
        <w:tc>
          <w:tcPr>
            <w:tcW w:w="1258" w:type="pct"/>
            <w:vAlign w:val="center"/>
          </w:tcPr>
          <w:p w14:paraId="0D7AFB8F">
            <w:pPr>
              <w:pStyle w:val="54"/>
              <w:rPr>
                <w:rFonts w:hint="default"/>
                <w:color w:val="auto"/>
              </w:rPr>
            </w:pPr>
            <w:r>
              <w:rPr>
                <w:color w:val="auto"/>
              </w:rPr>
              <w:t>售后承诺</w:t>
            </w:r>
          </w:p>
          <w:p w14:paraId="374DDAE9">
            <w:pPr>
              <w:pStyle w:val="43"/>
              <w:ind w:firstLine="420"/>
              <w:rPr>
                <w:color w:val="auto"/>
              </w:rPr>
            </w:pPr>
            <w:r>
              <w:rPr>
                <w:color w:val="auto"/>
              </w:rPr>
              <w:t>（分值：5分）</w:t>
            </w:r>
          </w:p>
        </w:tc>
        <w:tc>
          <w:tcPr>
            <w:tcW w:w="2575" w:type="pct"/>
          </w:tcPr>
          <w:p w14:paraId="18944DF7">
            <w:pPr>
              <w:pStyle w:val="43"/>
              <w:ind w:firstLine="420"/>
              <w:rPr>
                <w:color w:val="auto"/>
              </w:rPr>
            </w:pPr>
            <w:r>
              <w:rPr>
                <w:color w:val="auto"/>
              </w:rPr>
              <w:t>售后承诺（分值：5分）</w:t>
            </w:r>
            <w:r>
              <w:rPr>
                <w:color w:val="auto"/>
              </w:rPr>
              <w:br w:type="textWrapping"/>
            </w:r>
            <w:r>
              <w:rPr>
                <w:color w:val="auto"/>
              </w:rPr>
              <w:t>本项目应至少包含2年免费维保服务（维保服务期起始日为本项目最终验收后次日，维保服务期结束日需延期至到期当年的6月30日或12月31日中较近日期）。维保服务到期后每年维护费用不高于合同价的8%。</w:t>
            </w:r>
            <w:r>
              <w:rPr>
                <w:color w:val="auto"/>
              </w:rPr>
              <w:br w:type="textWrapping"/>
            </w:r>
            <w:r>
              <w:rPr>
                <w:color w:val="auto"/>
              </w:rPr>
              <w:t>1.维保服务期增加至3年且维保服务到期后每年维护费用降至不高于合同价的7%，得2分；</w:t>
            </w:r>
            <w:r>
              <w:rPr>
                <w:color w:val="auto"/>
              </w:rPr>
              <w:br w:type="textWrapping"/>
            </w:r>
            <w:r>
              <w:rPr>
                <w:color w:val="auto"/>
              </w:rPr>
              <w:t>2.维保服务期增加至4年且维保服务到期后每年维护费用降至不高于合同价的6%，得5分。</w:t>
            </w:r>
            <w:r>
              <w:rPr>
                <w:color w:val="auto"/>
              </w:rPr>
              <w:br w:type="textWrapping"/>
            </w:r>
            <w:r>
              <w:rPr>
                <w:color w:val="auto"/>
              </w:rPr>
              <w:t>【提供《售后承诺函》，格式自拟，不提供得零分】</w:t>
            </w:r>
          </w:p>
        </w:tc>
      </w:tr>
      <w:tr w14:paraId="33083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trPr>
        <w:tc>
          <w:tcPr>
            <w:tcW w:w="511" w:type="pct"/>
            <w:vMerge w:val="continue"/>
            <w:vAlign w:val="center"/>
          </w:tcPr>
          <w:p w14:paraId="02176ABC">
            <w:pPr>
              <w:pStyle w:val="43"/>
              <w:ind w:firstLine="420"/>
              <w:rPr>
                <w:color w:val="auto"/>
              </w:rPr>
            </w:pPr>
          </w:p>
        </w:tc>
        <w:tc>
          <w:tcPr>
            <w:tcW w:w="654" w:type="pct"/>
            <w:vMerge w:val="continue"/>
            <w:vAlign w:val="center"/>
          </w:tcPr>
          <w:p w14:paraId="37F65D38">
            <w:pPr>
              <w:pStyle w:val="43"/>
              <w:ind w:firstLine="420"/>
              <w:rPr>
                <w:color w:val="auto"/>
              </w:rPr>
            </w:pPr>
          </w:p>
        </w:tc>
        <w:tc>
          <w:tcPr>
            <w:tcW w:w="1258" w:type="pct"/>
            <w:vAlign w:val="center"/>
          </w:tcPr>
          <w:p w14:paraId="166E34F9">
            <w:pPr>
              <w:pStyle w:val="54"/>
              <w:rPr>
                <w:rFonts w:hint="default"/>
                <w:color w:val="auto"/>
              </w:rPr>
            </w:pPr>
            <w:r>
              <w:rPr>
                <w:color w:val="auto"/>
              </w:rPr>
              <w:t>后续人力成本</w:t>
            </w:r>
          </w:p>
          <w:p w14:paraId="3E720E08">
            <w:pPr>
              <w:pStyle w:val="43"/>
              <w:ind w:firstLine="420"/>
              <w:rPr>
                <w:color w:val="auto"/>
              </w:rPr>
            </w:pPr>
            <w:r>
              <w:rPr>
                <w:color w:val="auto"/>
              </w:rPr>
              <w:t>（分值：5分）</w:t>
            </w:r>
          </w:p>
        </w:tc>
        <w:tc>
          <w:tcPr>
            <w:tcW w:w="2575" w:type="pct"/>
          </w:tcPr>
          <w:p w14:paraId="49BEEDA1">
            <w:pPr>
              <w:pStyle w:val="43"/>
              <w:ind w:firstLine="420"/>
              <w:rPr>
                <w:color w:val="auto"/>
              </w:rPr>
            </w:pPr>
            <w:r>
              <w:rPr>
                <w:rFonts w:hint="eastAsia"/>
                <w:color w:val="auto"/>
              </w:rPr>
              <w:t>后续人力成本（分值：5分）</w:t>
            </w:r>
          </w:p>
          <w:p w14:paraId="1A3A7A30">
            <w:pPr>
              <w:pStyle w:val="43"/>
              <w:ind w:firstLine="420"/>
              <w:rPr>
                <w:color w:val="auto"/>
              </w:rPr>
            </w:pPr>
            <w:r>
              <w:rPr>
                <w:rFonts w:hint="eastAsia"/>
                <w:color w:val="auto"/>
              </w:rPr>
              <w:t>各响应人在以下人力单价最高限价基础上各级别统一下调1%得1分，下调2%得3分，下调3%得5分。（为方便计算，后续合同价格为下调响应比例后向下取整至百位，例：28,600下调3%再向下取整至百位后则为27,700。）：（1）高级人员，7年及以上银行重要业务系统研发或需求分析工作经验，单价不高于28,600元/人月；</w:t>
            </w:r>
          </w:p>
          <w:p w14:paraId="0C998D95">
            <w:pPr>
              <w:pStyle w:val="43"/>
              <w:ind w:firstLine="420"/>
              <w:rPr>
                <w:color w:val="auto"/>
              </w:rPr>
            </w:pPr>
            <w:r>
              <w:rPr>
                <w:rFonts w:hint="eastAsia"/>
                <w:color w:val="auto"/>
              </w:rPr>
              <w:t>（2）中级人员，4-6年（含）银行重要业务系统研发或需求分析工作经验，单价不高于24,200元/人月；</w:t>
            </w:r>
          </w:p>
          <w:p w14:paraId="76A95452">
            <w:pPr>
              <w:pStyle w:val="43"/>
              <w:ind w:firstLine="420"/>
              <w:rPr>
                <w:color w:val="auto"/>
              </w:rPr>
            </w:pPr>
            <w:r>
              <w:rPr>
                <w:rFonts w:hint="eastAsia"/>
                <w:color w:val="auto"/>
              </w:rPr>
              <w:t>（3）初级人员，1-3年（含）银行重要业务系统研发或需求分析工作经验，单价不高于17,600元/人月。</w:t>
            </w:r>
          </w:p>
          <w:p w14:paraId="2D17D714">
            <w:pPr>
              <w:pStyle w:val="43"/>
              <w:ind w:firstLine="420"/>
              <w:rPr>
                <w:color w:val="auto"/>
              </w:rPr>
            </w:pPr>
            <w:r>
              <w:rPr>
                <w:rFonts w:hint="eastAsia"/>
                <w:color w:val="auto"/>
              </w:rPr>
              <w:t>注：需提供加盖公章的承诺函，格式自拟。</w:t>
            </w:r>
          </w:p>
        </w:tc>
      </w:tr>
      <w:tr w14:paraId="75A81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Align w:val="center"/>
          </w:tcPr>
          <w:p w14:paraId="63EAD463">
            <w:pPr>
              <w:pStyle w:val="54"/>
              <w:rPr>
                <w:rFonts w:hint="default"/>
                <w:color w:val="auto"/>
              </w:rPr>
            </w:pPr>
            <w:r>
              <w:rPr>
                <w:color w:val="auto"/>
              </w:rPr>
              <w:t>2.2.2</w:t>
            </w:r>
          </w:p>
          <w:p w14:paraId="4BB7995D">
            <w:pPr>
              <w:pStyle w:val="54"/>
              <w:rPr>
                <w:rFonts w:hint="default"/>
                <w:color w:val="auto"/>
              </w:rPr>
            </w:pPr>
            <w:r>
              <w:rPr>
                <w:color w:val="auto"/>
              </w:rPr>
              <w:t>（2）</w:t>
            </w:r>
          </w:p>
        </w:tc>
        <w:tc>
          <w:tcPr>
            <w:tcW w:w="654" w:type="pct"/>
            <w:vAlign w:val="center"/>
          </w:tcPr>
          <w:p w14:paraId="59433E12">
            <w:pPr>
              <w:pStyle w:val="54"/>
              <w:rPr>
                <w:rFonts w:hint="default"/>
                <w:color w:val="auto"/>
              </w:rPr>
            </w:pPr>
            <w:r>
              <w:rPr>
                <w:color w:val="auto"/>
              </w:rPr>
              <w:t>技术评分标准（B）</w:t>
            </w:r>
          </w:p>
        </w:tc>
        <w:tc>
          <w:tcPr>
            <w:tcW w:w="1258" w:type="pct"/>
            <w:vAlign w:val="center"/>
          </w:tcPr>
          <w:p w14:paraId="5CA59D43">
            <w:pPr>
              <w:pStyle w:val="54"/>
              <w:rPr>
                <w:rFonts w:hint="default"/>
                <w:color w:val="auto"/>
              </w:rPr>
            </w:pPr>
            <w:r>
              <w:rPr>
                <w:color w:val="auto"/>
              </w:rPr>
              <w:t>项目实施方案</w:t>
            </w:r>
            <w:r>
              <w:rPr>
                <w:color w:val="auto"/>
              </w:rPr>
              <w:br w:type="textWrapping"/>
            </w:r>
            <w:r>
              <w:rPr>
                <w:color w:val="auto"/>
              </w:rPr>
              <w:t>（分值：5分）</w:t>
            </w:r>
          </w:p>
        </w:tc>
        <w:tc>
          <w:tcPr>
            <w:tcW w:w="2575" w:type="pct"/>
            <w:vAlign w:val="center"/>
          </w:tcPr>
          <w:p w14:paraId="268CFC4A">
            <w:pPr>
              <w:pStyle w:val="43"/>
              <w:ind w:firstLine="420"/>
              <w:rPr>
                <w:color w:val="auto"/>
              </w:rPr>
            </w:pPr>
            <w:r>
              <w:rPr>
                <w:color w:val="auto"/>
              </w:rPr>
              <w:t>项目实施方案（分值：5分）</w:t>
            </w:r>
          </w:p>
          <w:p w14:paraId="113868C8">
            <w:pPr>
              <w:pStyle w:val="43"/>
              <w:ind w:firstLine="420"/>
              <w:rPr>
                <w:color w:val="auto"/>
              </w:rPr>
            </w:pPr>
            <w:r>
              <w:rPr>
                <w:rFonts w:hint="eastAsia"/>
                <w:color w:val="auto"/>
              </w:rPr>
              <w:t>响应人针对本项目提供完善的项目实施方案，包含但不限于组织体系、工程进度安排、需求理解、质量管理、培训、</w:t>
            </w:r>
            <w:r>
              <w:rPr>
                <w:color w:val="auto"/>
              </w:rPr>
              <w:t>技术方案</w:t>
            </w:r>
            <w:r>
              <w:rPr>
                <w:rFonts w:hint="eastAsia"/>
                <w:color w:val="auto"/>
              </w:rPr>
              <w:t>等内容，根据方案的优劣情况，由评审委员会横向对比，酌情给分，优秀得(4-5]分，良好得(3-4]分，一般得[1-3]分，差得0分。</w:t>
            </w:r>
            <w:r>
              <w:rPr>
                <w:color w:val="auto"/>
              </w:rPr>
              <w:t>【响应人应提供实施方案，包含但不限于组织体系、工程进度安排、需求理解、质量管理、培训、技术方案等内容】</w:t>
            </w:r>
          </w:p>
        </w:tc>
      </w:tr>
      <w:tr w14:paraId="72575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vAlign w:val="center"/>
          </w:tcPr>
          <w:p w14:paraId="666BA8B3">
            <w:pPr>
              <w:pStyle w:val="54"/>
              <w:rPr>
                <w:rFonts w:hint="default"/>
                <w:color w:val="auto"/>
              </w:rPr>
            </w:pPr>
            <w:r>
              <w:rPr>
                <w:color w:val="auto"/>
              </w:rPr>
              <w:t>2.2.2</w:t>
            </w:r>
          </w:p>
          <w:p w14:paraId="153C0875">
            <w:pPr>
              <w:pStyle w:val="54"/>
              <w:rPr>
                <w:rFonts w:hint="default"/>
                <w:color w:val="auto"/>
              </w:rPr>
            </w:pPr>
            <w:r>
              <w:rPr>
                <w:color w:val="auto"/>
              </w:rPr>
              <w:t>（3）</w:t>
            </w:r>
          </w:p>
        </w:tc>
        <w:tc>
          <w:tcPr>
            <w:tcW w:w="654" w:type="pct"/>
            <w:vAlign w:val="center"/>
          </w:tcPr>
          <w:p w14:paraId="225BD46C">
            <w:pPr>
              <w:pStyle w:val="54"/>
              <w:rPr>
                <w:rFonts w:hint="default"/>
                <w:color w:val="auto"/>
              </w:rPr>
            </w:pPr>
            <w:r>
              <w:rPr>
                <w:color w:val="auto"/>
              </w:rPr>
              <w:t>报价评分标准（C）</w:t>
            </w:r>
          </w:p>
        </w:tc>
        <w:tc>
          <w:tcPr>
            <w:tcW w:w="1258" w:type="pct"/>
            <w:vAlign w:val="center"/>
          </w:tcPr>
          <w:p w14:paraId="3F14E1B2">
            <w:pPr>
              <w:pStyle w:val="54"/>
              <w:rPr>
                <w:rFonts w:hint="default"/>
                <w:color w:val="auto"/>
              </w:rPr>
            </w:pPr>
            <w:r>
              <w:rPr>
                <w:color w:val="auto"/>
              </w:rPr>
              <w:t>响应报价得分</w:t>
            </w:r>
          </w:p>
        </w:tc>
        <w:tc>
          <w:tcPr>
            <w:tcW w:w="2575" w:type="pct"/>
            <w:vAlign w:val="center"/>
          </w:tcPr>
          <w:p w14:paraId="7CFE415F">
            <w:pPr>
              <w:pStyle w:val="43"/>
              <w:spacing w:after="0"/>
              <w:rPr>
                <w:rFonts w:cs="Times New Roman"/>
                <w:b/>
                <w:bCs w:val="0"/>
                <w:color w:val="auto"/>
                <w:szCs w:val="21"/>
              </w:rPr>
            </w:pPr>
            <w:r>
              <w:rPr>
                <w:rFonts w:cs="Times New Roman"/>
                <w:b/>
                <w:bCs w:val="0"/>
                <w:color w:val="auto"/>
                <w:szCs w:val="21"/>
              </w:rPr>
              <w:t>响应报价（不含税报价）评分规则（分值：50分）</w:t>
            </w:r>
          </w:p>
          <w:p w14:paraId="4FEDC873">
            <w:pPr>
              <w:pStyle w:val="43"/>
              <w:ind w:firstLine="420"/>
              <w:rPr>
                <w:rFonts w:cs="Times New Roman"/>
                <w:color w:val="auto"/>
                <w:szCs w:val="21"/>
              </w:rPr>
            </w:pPr>
            <w:r>
              <w:rPr>
                <w:rFonts w:hint="eastAsia" w:cs="Times New Roman"/>
                <w:color w:val="auto"/>
                <w:szCs w:val="21"/>
              </w:rPr>
              <w:t>响应报价评分规则（分值：50分）</w:t>
            </w:r>
          </w:p>
          <w:p w14:paraId="702FD55E">
            <w:pPr>
              <w:pStyle w:val="43"/>
              <w:ind w:firstLine="420"/>
              <w:rPr>
                <w:rFonts w:cs="Times New Roman"/>
                <w:color w:val="auto"/>
                <w:szCs w:val="21"/>
              </w:rPr>
            </w:pPr>
            <w:r>
              <w:rPr>
                <w:rFonts w:hint="eastAsia" w:cs="Times New Roman"/>
                <w:color w:val="auto"/>
                <w:szCs w:val="21"/>
              </w:rPr>
              <w:t>1.以所有通过初步评审的有效报价之和的平均价格作为评审基准价，基准分为50分；</w:t>
            </w:r>
          </w:p>
          <w:p w14:paraId="76195F12">
            <w:pPr>
              <w:pStyle w:val="43"/>
              <w:ind w:firstLine="420"/>
              <w:rPr>
                <w:rFonts w:cs="Times New Roman"/>
                <w:color w:val="auto"/>
                <w:szCs w:val="21"/>
              </w:rPr>
            </w:pPr>
            <w:r>
              <w:rPr>
                <w:rFonts w:hint="eastAsia" w:cs="Times New Roman"/>
                <w:color w:val="auto"/>
                <w:szCs w:val="21"/>
              </w:rPr>
              <w:t>2.计算各有效报价与评审基准价的偏离度。偏离度=（有效报价/评审基准价-1）*100%；</w:t>
            </w:r>
          </w:p>
          <w:p w14:paraId="46613358">
            <w:pPr>
              <w:pStyle w:val="43"/>
              <w:ind w:firstLine="420"/>
              <w:rPr>
                <w:rFonts w:cs="Times New Roman"/>
                <w:color w:val="auto"/>
                <w:szCs w:val="21"/>
              </w:rPr>
            </w:pPr>
            <w:bookmarkStart w:id="758" w:name="OLE_LINK1"/>
            <w:r>
              <w:rPr>
                <w:rFonts w:hint="eastAsia" w:cs="Times New Roman"/>
                <w:color w:val="auto"/>
                <w:szCs w:val="21"/>
              </w:rPr>
              <w:t>3.报价向上每偏离基准价的1%扣1分；扣完为止，不足1%的按插入法计算，扣完为止；</w:t>
            </w:r>
          </w:p>
          <w:bookmarkEnd w:id="758"/>
          <w:p w14:paraId="19FB8FE9">
            <w:pPr>
              <w:pStyle w:val="43"/>
              <w:ind w:firstLine="420"/>
              <w:rPr>
                <w:rFonts w:cs="Times New Roman"/>
                <w:color w:val="auto"/>
                <w:szCs w:val="21"/>
              </w:rPr>
            </w:pPr>
            <w:r>
              <w:rPr>
                <w:rFonts w:hint="eastAsia" w:cs="Times New Roman"/>
                <w:color w:val="auto"/>
                <w:szCs w:val="21"/>
              </w:rPr>
              <w:t>4.向下偏离基准价10%以内的，不扣分；向下偏离基准价超过10%的，在向下偏离基准价10%的基础上，向下偏离每多超过1%扣0.5分，不足1%的按插入法计算，扣完为止。</w:t>
            </w:r>
          </w:p>
          <w:p w14:paraId="1E6C00C5">
            <w:pPr>
              <w:pStyle w:val="43"/>
              <w:rPr>
                <w:color w:val="auto"/>
              </w:rPr>
            </w:pPr>
            <w:r>
              <w:rPr>
                <w:b/>
                <w:bCs w:val="0"/>
                <w:color w:val="auto"/>
              </w:rPr>
              <w:t>注：以不含税</w:t>
            </w:r>
            <w:r>
              <w:rPr>
                <w:rFonts w:hint="eastAsia"/>
                <w:b/>
                <w:bCs w:val="0"/>
                <w:color w:val="auto"/>
              </w:rPr>
              <w:t>响应报价</w:t>
            </w:r>
            <w:r>
              <w:rPr>
                <w:b/>
                <w:bCs w:val="0"/>
                <w:color w:val="auto"/>
              </w:rPr>
              <w:t>进行计算。</w:t>
            </w:r>
          </w:p>
        </w:tc>
      </w:tr>
      <w:tr w14:paraId="4BDCB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1" w:type="pct"/>
            <w:tcBorders>
              <w:bottom w:val="single" w:color="auto" w:sz="4" w:space="0"/>
            </w:tcBorders>
            <w:vAlign w:val="center"/>
          </w:tcPr>
          <w:p w14:paraId="5A05E4D4">
            <w:pPr>
              <w:pStyle w:val="54"/>
              <w:rPr>
                <w:rFonts w:hint="default"/>
                <w:color w:val="auto"/>
              </w:rPr>
            </w:pPr>
            <w:r>
              <w:rPr>
                <w:color w:val="auto"/>
              </w:rPr>
              <w:t>3.2.3</w:t>
            </w:r>
          </w:p>
        </w:tc>
        <w:tc>
          <w:tcPr>
            <w:tcW w:w="1913" w:type="pct"/>
            <w:gridSpan w:val="2"/>
            <w:tcBorders>
              <w:bottom w:val="single" w:color="auto" w:sz="4" w:space="0"/>
            </w:tcBorders>
            <w:vAlign w:val="center"/>
          </w:tcPr>
          <w:p w14:paraId="02A16708">
            <w:pPr>
              <w:pStyle w:val="54"/>
              <w:rPr>
                <w:rFonts w:hint="default"/>
                <w:color w:val="auto"/>
              </w:rPr>
            </w:pPr>
            <w:r>
              <w:rPr>
                <w:color w:val="auto"/>
              </w:rPr>
              <w:t>响应人得分</w:t>
            </w:r>
          </w:p>
        </w:tc>
        <w:tc>
          <w:tcPr>
            <w:tcW w:w="2575" w:type="pct"/>
            <w:vAlign w:val="center"/>
          </w:tcPr>
          <w:p w14:paraId="0EAD786D">
            <w:pPr>
              <w:pStyle w:val="43"/>
              <w:ind w:firstLine="420"/>
              <w:rPr>
                <w:color w:val="auto"/>
              </w:rPr>
            </w:pPr>
            <w:r>
              <w:rPr>
                <w:rFonts w:hint="eastAsia"/>
                <w:color w:val="auto"/>
              </w:rPr>
              <w:t>响应人得分=A+B+C</w:t>
            </w:r>
          </w:p>
        </w:tc>
      </w:tr>
    </w:tbl>
    <w:p w14:paraId="5CEDE83B">
      <w:pPr>
        <w:spacing w:line="400" w:lineRule="exact"/>
        <w:ind w:firstLine="422"/>
        <w:jc w:val="center"/>
        <w:rPr>
          <w:rFonts w:hint="eastAsia" w:ascii="宋体" w:hAnsi="宋体" w:cs="宋体"/>
          <w:b/>
          <w:color w:val="auto"/>
          <w:szCs w:val="21"/>
        </w:rPr>
      </w:pPr>
      <w:r>
        <w:rPr>
          <w:rFonts w:hint="eastAsia" w:ascii="宋体" w:hAnsi="宋体" w:cs="宋体"/>
          <w:b/>
          <w:color w:val="auto"/>
          <w:szCs w:val="21"/>
        </w:rPr>
        <w:br w:type="page"/>
      </w:r>
    </w:p>
    <w:p w14:paraId="068E8FCD">
      <w:pPr>
        <w:pStyle w:val="3"/>
        <w:rPr>
          <w:color w:val="auto"/>
          <w:shd w:val="clear" w:color="FFFFFF" w:fill="D9D9D9"/>
        </w:rPr>
      </w:pPr>
      <w:bookmarkStart w:id="759" w:name="_Toc16811"/>
      <w:bookmarkStart w:id="760" w:name="_Toc20054"/>
      <w:bookmarkStart w:id="761" w:name="_Toc27098"/>
      <w:bookmarkStart w:id="762" w:name="_Toc18814"/>
      <w:bookmarkStart w:id="763" w:name="_Toc30959"/>
      <w:bookmarkStart w:id="764" w:name="_Toc15701"/>
      <w:bookmarkStart w:id="765" w:name="_Toc11031"/>
      <w:bookmarkStart w:id="766" w:name="_Toc25892"/>
      <w:bookmarkStart w:id="767" w:name="_Toc57795929"/>
      <w:bookmarkStart w:id="768" w:name="_Toc10921"/>
      <w:bookmarkStart w:id="769" w:name="_Toc15768"/>
      <w:bookmarkStart w:id="770" w:name="_Toc10493"/>
      <w:bookmarkStart w:id="771" w:name="_Toc22316"/>
      <w:r>
        <w:rPr>
          <w:rFonts w:hint="eastAsia"/>
          <w:color w:val="auto"/>
          <w:shd w:val="clear" w:color="FFFFFF" w:fill="D9D9D9"/>
        </w:rPr>
        <w:t>1. 评审方法</w:t>
      </w:r>
      <w:bookmarkEnd w:id="759"/>
      <w:bookmarkEnd w:id="760"/>
      <w:bookmarkEnd w:id="761"/>
      <w:bookmarkEnd w:id="762"/>
      <w:bookmarkEnd w:id="763"/>
      <w:bookmarkEnd w:id="764"/>
      <w:bookmarkEnd w:id="765"/>
      <w:bookmarkEnd w:id="766"/>
      <w:bookmarkEnd w:id="767"/>
      <w:bookmarkEnd w:id="768"/>
      <w:bookmarkEnd w:id="769"/>
      <w:bookmarkEnd w:id="770"/>
      <w:bookmarkEnd w:id="771"/>
    </w:p>
    <w:p w14:paraId="079340C6">
      <w:pPr>
        <w:ind w:firstLine="420"/>
        <w:rPr>
          <w:color w:val="auto"/>
          <w:shd w:val="clear" w:color="FFFFFF" w:fill="D9D9D9"/>
        </w:rPr>
      </w:pPr>
      <w:r>
        <w:rPr>
          <w:color w:val="auto"/>
          <w:shd w:val="clear" w:color="FFFFFF" w:fill="D9D9D9"/>
        </w:rPr>
        <w:t>本次</w:t>
      </w:r>
      <w:r>
        <w:rPr>
          <w:rFonts w:hint="eastAsia"/>
          <w:color w:val="auto"/>
          <w:shd w:val="clear" w:color="FFFFFF" w:fill="D9D9D9"/>
        </w:rPr>
        <w:t>评审</w:t>
      </w:r>
      <w:r>
        <w:rPr>
          <w:color w:val="auto"/>
          <w:shd w:val="clear" w:color="FFFFFF" w:fill="D9D9D9"/>
        </w:rPr>
        <w:t>采用综合评估法。</w:t>
      </w:r>
      <w:r>
        <w:rPr>
          <w:rFonts w:hint="eastAsia"/>
          <w:color w:val="auto"/>
          <w:shd w:val="clear" w:color="FFFFFF" w:fill="D9D9D9"/>
        </w:rPr>
        <w:t>评审委员会</w:t>
      </w:r>
      <w:r>
        <w:rPr>
          <w:color w:val="auto"/>
          <w:shd w:val="clear" w:color="FFFFFF" w:fill="D9D9D9"/>
        </w:rPr>
        <w:t xml:space="preserve">按照本章第 2.2 </w:t>
      </w:r>
      <w:r>
        <w:rPr>
          <w:rFonts w:hint="eastAsia"/>
          <w:color w:val="auto"/>
          <w:shd w:val="clear" w:color="FFFFFF" w:fill="D9D9D9"/>
        </w:rPr>
        <w:t>项</w:t>
      </w:r>
      <w:r>
        <w:rPr>
          <w:color w:val="auto"/>
          <w:shd w:val="clear" w:color="FFFFFF" w:fill="D9D9D9"/>
        </w:rPr>
        <w:t>规定的评分标准进行评分，按得分由高到低顺序</w:t>
      </w:r>
      <w:r>
        <w:rPr>
          <w:rFonts w:hint="eastAsia"/>
          <w:color w:val="auto"/>
          <w:shd w:val="clear" w:color="FFFFFF" w:fill="D9D9D9"/>
        </w:rPr>
        <w:t>进行排名</w:t>
      </w:r>
      <w:r>
        <w:rPr>
          <w:color w:val="auto"/>
          <w:shd w:val="clear" w:color="FFFFFF" w:fill="D9D9D9"/>
        </w:rPr>
        <w:t>。综合评分相等时，以</w:t>
      </w:r>
      <w:r>
        <w:rPr>
          <w:rFonts w:hint="eastAsia"/>
          <w:color w:val="auto"/>
          <w:shd w:val="clear" w:color="FFFFFF" w:fill="D9D9D9"/>
        </w:rPr>
        <w:t>评审</w:t>
      </w:r>
      <w:r>
        <w:rPr>
          <w:color w:val="auto"/>
          <w:shd w:val="clear" w:color="FFFFFF" w:fill="D9D9D9"/>
        </w:rPr>
        <w:t>办法前附表约定的原则确定排序。</w:t>
      </w:r>
    </w:p>
    <w:p w14:paraId="1550FC53">
      <w:pPr>
        <w:pStyle w:val="3"/>
        <w:rPr>
          <w:color w:val="auto"/>
          <w:shd w:val="clear" w:color="FFFFFF" w:fill="D9D9D9"/>
        </w:rPr>
      </w:pPr>
      <w:bookmarkStart w:id="772" w:name="_Toc287620752"/>
      <w:bookmarkStart w:id="773" w:name="_Toc430530501"/>
      <w:bookmarkStart w:id="774" w:name="_Toc3610"/>
      <w:bookmarkStart w:id="775" w:name="_Toc57795930"/>
      <w:bookmarkStart w:id="776" w:name="_Toc10064"/>
      <w:bookmarkStart w:id="777" w:name="_Toc17697"/>
      <w:bookmarkStart w:id="778" w:name="_Toc33106453"/>
      <w:bookmarkStart w:id="779" w:name="_Toc287607813"/>
      <w:bookmarkStart w:id="780" w:name="_Toc200513199"/>
      <w:bookmarkStart w:id="781" w:name="_Toc25303"/>
      <w:bookmarkStart w:id="782" w:name="_Toc28805"/>
      <w:bookmarkStart w:id="783" w:name="_Toc21345"/>
      <w:bookmarkStart w:id="784" w:name="_Toc6479"/>
      <w:bookmarkStart w:id="785" w:name="_Toc8149"/>
      <w:bookmarkStart w:id="786" w:name="_Toc277082619"/>
      <w:bookmarkStart w:id="787" w:name="_Toc5463"/>
      <w:bookmarkStart w:id="788" w:name="_Toc15622"/>
      <w:bookmarkStart w:id="789" w:name="_Toc1876"/>
      <w:bookmarkStart w:id="790" w:name="_Toc509218777"/>
      <w:bookmarkStart w:id="791" w:name="_Toc25528"/>
      <w:bookmarkStart w:id="792" w:name="_Toc224103385"/>
      <w:r>
        <w:rPr>
          <w:rFonts w:hint="eastAsia"/>
          <w:color w:val="auto"/>
          <w:shd w:val="clear" w:color="FFFFFF" w:fill="D9D9D9"/>
        </w:rPr>
        <w:t>2. 评审标准</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5E5475ED">
      <w:pPr>
        <w:pStyle w:val="4"/>
        <w:ind w:firstLine="422"/>
        <w:rPr>
          <w:color w:val="auto"/>
          <w:shd w:val="clear" w:color="FFFFFF" w:fill="D9D9D9"/>
        </w:rPr>
      </w:pPr>
      <w:bookmarkStart w:id="793" w:name="_Toc430530502"/>
      <w:bookmarkStart w:id="794" w:name="_Toc509218778"/>
      <w:bookmarkStart w:id="795" w:name="_Toc224103386"/>
      <w:bookmarkStart w:id="796" w:name="_Toc13195"/>
      <w:bookmarkStart w:id="797" w:name="_Toc12691"/>
      <w:bookmarkStart w:id="798" w:name="_Toc287607814"/>
      <w:bookmarkStart w:id="799" w:name="_Toc27387"/>
      <w:bookmarkStart w:id="800" w:name="_Toc32324"/>
      <w:bookmarkStart w:id="801" w:name="_Toc200513200"/>
      <w:bookmarkStart w:id="802" w:name="_Toc287620753"/>
      <w:bookmarkStart w:id="803" w:name="_Toc33106454"/>
      <w:bookmarkStart w:id="804" w:name="_Toc11552"/>
      <w:bookmarkStart w:id="805" w:name="_Toc8133"/>
      <w:bookmarkStart w:id="806" w:name="_Toc57795931"/>
      <w:bookmarkStart w:id="807" w:name="_Toc20370"/>
      <w:bookmarkStart w:id="808" w:name="_Toc277082620"/>
      <w:r>
        <w:rPr>
          <w:rFonts w:hint="eastAsia"/>
          <w:color w:val="auto"/>
          <w:shd w:val="clear" w:color="FFFFFF" w:fill="D9D9D9"/>
        </w:rPr>
        <w:t>2.1 初步评审标准</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14:paraId="59F9B2AD">
      <w:pPr>
        <w:ind w:firstLine="420"/>
        <w:rPr>
          <w:color w:val="auto"/>
          <w:shd w:val="clear" w:color="FFFFFF" w:fill="D9D9D9"/>
        </w:rPr>
      </w:pPr>
      <w:r>
        <w:rPr>
          <w:rFonts w:hint="eastAsia"/>
          <w:color w:val="auto"/>
          <w:shd w:val="clear" w:color="FFFFFF" w:fill="D9D9D9"/>
        </w:rPr>
        <w:t>2.1.1 形式评审标准：见评审办法前附表。</w:t>
      </w:r>
    </w:p>
    <w:p w14:paraId="6884F0D9">
      <w:pPr>
        <w:ind w:firstLine="420"/>
        <w:rPr>
          <w:color w:val="auto"/>
          <w:shd w:val="clear" w:color="FFFFFF" w:fill="D9D9D9"/>
        </w:rPr>
      </w:pPr>
      <w:r>
        <w:rPr>
          <w:rFonts w:hint="eastAsia"/>
          <w:color w:val="auto"/>
          <w:shd w:val="clear" w:color="FFFFFF" w:fill="D9D9D9"/>
        </w:rPr>
        <w:t>2.1.2 资格评审标准：见评审办法前附表。</w:t>
      </w:r>
    </w:p>
    <w:p w14:paraId="47E5397A">
      <w:pPr>
        <w:ind w:firstLine="420"/>
        <w:rPr>
          <w:color w:val="auto"/>
          <w:shd w:val="clear" w:color="FFFFFF" w:fill="D9D9D9"/>
        </w:rPr>
      </w:pPr>
      <w:bookmarkStart w:id="809" w:name="_bookmark87"/>
      <w:bookmarkEnd w:id="809"/>
      <w:r>
        <w:rPr>
          <w:rFonts w:hint="eastAsia"/>
          <w:color w:val="auto"/>
          <w:shd w:val="clear" w:color="FFFFFF" w:fill="D9D9D9"/>
        </w:rPr>
        <w:t>2.1.3 响应性评审标准：见评审办法前附表。</w:t>
      </w:r>
    </w:p>
    <w:p w14:paraId="12DEB555">
      <w:pPr>
        <w:pStyle w:val="4"/>
        <w:ind w:firstLine="422"/>
        <w:rPr>
          <w:color w:val="auto"/>
          <w:shd w:val="clear" w:color="FFFFFF" w:fill="D9D9D9"/>
        </w:rPr>
      </w:pPr>
      <w:bookmarkStart w:id="810" w:name="_Toc28864"/>
      <w:bookmarkStart w:id="811" w:name="_Toc19092"/>
      <w:bookmarkStart w:id="812" w:name="_Toc430530503"/>
      <w:bookmarkStart w:id="813" w:name="_Toc287607815"/>
      <w:bookmarkStart w:id="814" w:name="_Toc287620754"/>
      <w:bookmarkStart w:id="815" w:name="_Toc277082621"/>
      <w:bookmarkStart w:id="816" w:name="_Toc509218779"/>
      <w:bookmarkStart w:id="817" w:name="_Toc32327"/>
      <w:bookmarkStart w:id="818" w:name="_Toc20536"/>
      <w:bookmarkStart w:id="819" w:name="_Toc224103387"/>
      <w:bookmarkStart w:id="820" w:name="_Toc23134"/>
      <w:bookmarkStart w:id="821" w:name="_Toc1715"/>
      <w:bookmarkStart w:id="822" w:name="_Toc25106"/>
      <w:bookmarkStart w:id="823" w:name="_Toc57795932"/>
      <w:bookmarkStart w:id="824" w:name="_Toc200513201"/>
      <w:bookmarkStart w:id="825" w:name="_Toc33106455"/>
      <w:r>
        <w:rPr>
          <w:rFonts w:hint="eastAsia"/>
          <w:color w:val="auto"/>
          <w:shd w:val="clear" w:color="FFFFFF" w:fill="D9D9D9"/>
        </w:rPr>
        <w:t>2.2 分值构成与评分标准</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2FF46422">
      <w:pPr>
        <w:ind w:firstLine="420"/>
        <w:rPr>
          <w:color w:val="auto"/>
          <w:shd w:val="clear" w:color="FFFFFF" w:fill="D9D9D9"/>
        </w:rPr>
      </w:pPr>
      <w:bookmarkStart w:id="826" w:name="_Toc430530504"/>
      <w:bookmarkStart w:id="827" w:name="_Toc287620755"/>
      <w:bookmarkStart w:id="828" w:name="_Toc21601"/>
      <w:bookmarkStart w:id="829" w:name="_Toc32479"/>
      <w:bookmarkStart w:id="830" w:name="_Toc27118"/>
      <w:bookmarkStart w:id="831" w:name="_Toc277082622"/>
      <w:bookmarkStart w:id="832" w:name="_Toc224103388"/>
      <w:bookmarkStart w:id="833" w:name="_Toc33106456"/>
      <w:bookmarkStart w:id="834" w:name="_Toc57795933"/>
      <w:bookmarkStart w:id="835" w:name="_Toc509218780"/>
      <w:bookmarkStart w:id="836" w:name="_Toc200513202"/>
      <w:bookmarkStart w:id="837" w:name="_Toc287607816"/>
      <w:r>
        <w:rPr>
          <w:rFonts w:hint="eastAsia"/>
          <w:color w:val="auto"/>
          <w:shd w:val="clear" w:color="FFFFFF" w:fill="D9D9D9"/>
        </w:rPr>
        <w:t>2.2.1 分值构成</w:t>
      </w:r>
    </w:p>
    <w:p w14:paraId="327F3D74">
      <w:pPr>
        <w:ind w:firstLine="420"/>
        <w:rPr>
          <w:color w:val="auto"/>
          <w:shd w:val="clear" w:color="FFFFFF" w:fill="D9D9D9"/>
        </w:rPr>
      </w:pPr>
      <w:r>
        <w:rPr>
          <w:rFonts w:hint="eastAsia"/>
          <w:color w:val="auto"/>
          <w:shd w:val="clear" w:color="FFFFFF" w:fill="D9D9D9"/>
        </w:rPr>
        <w:t>（1）商务部分：见评审办法前附表；</w:t>
      </w:r>
    </w:p>
    <w:p w14:paraId="77104029">
      <w:pPr>
        <w:ind w:firstLine="420"/>
        <w:rPr>
          <w:color w:val="auto"/>
          <w:shd w:val="clear" w:color="FFFFFF" w:fill="D9D9D9"/>
        </w:rPr>
      </w:pPr>
      <w:r>
        <w:rPr>
          <w:rFonts w:hint="eastAsia"/>
          <w:color w:val="auto"/>
          <w:shd w:val="clear" w:color="FFFFFF" w:fill="D9D9D9"/>
        </w:rPr>
        <w:t>（2）技术部分：见评审办法前附表；</w:t>
      </w:r>
    </w:p>
    <w:p w14:paraId="72748B3B">
      <w:pPr>
        <w:ind w:firstLine="420"/>
        <w:rPr>
          <w:color w:val="auto"/>
          <w:shd w:val="clear" w:color="FFFFFF" w:fill="D9D9D9"/>
        </w:rPr>
      </w:pPr>
      <w:r>
        <w:rPr>
          <w:rFonts w:hint="eastAsia"/>
          <w:color w:val="auto"/>
          <w:shd w:val="clear" w:color="FFFFFF" w:fill="D9D9D9"/>
        </w:rPr>
        <w:t>（3）响应报价：见评审办法前附表；</w:t>
      </w:r>
    </w:p>
    <w:p w14:paraId="05B8E5A1">
      <w:pPr>
        <w:ind w:firstLine="420"/>
        <w:rPr>
          <w:color w:val="auto"/>
          <w:shd w:val="clear" w:color="FFFFFF" w:fill="D9D9D9"/>
        </w:rPr>
      </w:pPr>
      <w:r>
        <w:rPr>
          <w:rFonts w:hint="eastAsia"/>
          <w:color w:val="auto"/>
          <w:shd w:val="clear" w:color="FFFFFF" w:fill="D9D9D9"/>
        </w:rPr>
        <w:t>（4）其他评分因素：见评审办法前附表。</w:t>
      </w:r>
    </w:p>
    <w:p w14:paraId="7B1AC02D">
      <w:pPr>
        <w:ind w:firstLine="420"/>
        <w:rPr>
          <w:color w:val="auto"/>
          <w:shd w:val="clear" w:color="FFFFFF" w:fill="D9D9D9"/>
        </w:rPr>
      </w:pPr>
      <w:r>
        <w:rPr>
          <w:rFonts w:hint="eastAsia"/>
          <w:color w:val="auto"/>
          <w:shd w:val="clear" w:color="FFFFFF" w:fill="D9D9D9"/>
        </w:rPr>
        <w:t>2.2.2 评分标准</w:t>
      </w:r>
    </w:p>
    <w:p w14:paraId="251080F4">
      <w:pPr>
        <w:ind w:firstLine="420"/>
        <w:rPr>
          <w:color w:val="auto"/>
          <w:shd w:val="clear" w:color="FFFFFF" w:fill="D9D9D9"/>
        </w:rPr>
      </w:pPr>
      <w:r>
        <w:rPr>
          <w:rFonts w:hint="eastAsia"/>
          <w:color w:val="auto"/>
          <w:shd w:val="clear" w:color="FFFFFF" w:fill="D9D9D9"/>
        </w:rPr>
        <w:t>（1）商务评分标准：见评审办法前附表；</w:t>
      </w:r>
    </w:p>
    <w:p w14:paraId="5B9A393B">
      <w:pPr>
        <w:ind w:firstLine="420"/>
        <w:rPr>
          <w:color w:val="auto"/>
          <w:shd w:val="clear" w:color="FFFFFF" w:fill="D9D9D9"/>
        </w:rPr>
      </w:pPr>
      <w:r>
        <w:rPr>
          <w:rFonts w:hint="eastAsia"/>
          <w:color w:val="auto"/>
          <w:shd w:val="clear" w:color="FFFFFF" w:fill="D9D9D9"/>
        </w:rPr>
        <w:t>（2）技术评分标准：见评审办法前附表；</w:t>
      </w:r>
    </w:p>
    <w:p w14:paraId="2285E8DA">
      <w:pPr>
        <w:ind w:firstLine="420"/>
        <w:rPr>
          <w:color w:val="auto"/>
          <w:shd w:val="clear" w:color="FFFFFF" w:fill="D9D9D9"/>
        </w:rPr>
      </w:pPr>
      <w:r>
        <w:rPr>
          <w:rFonts w:hint="eastAsia"/>
          <w:color w:val="auto"/>
          <w:shd w:val="clear" w:color="FFFFFF" w:fill="D9D9D9"/>
        </w:rPr>
        <w:t>（3）响应报价评分标准：见评审办法前附表；</w:t>
      </w:r>
    </w:p>
    <w:p w14:paraId="15F755CB">
      <w:pPr>
        <w:ind w:firstLine="420"/>
        <w:rPr>
          <w:color w:val="auto"/>
          <w:shd w:val="clear" w:color="FFFFFF" w:fill="D9D9D9"/>
        </w:rPr>
      </w:pPr>
      <w:r>
        <w:rPr>
          <w:rFonts w:hint="eastAsia"/>
          <w:color w:val="auto"/>
          <w:shd w:val="clear" w:color="FFFFFF" w:fill="D9D9D9"/>
        </w:rPr>
        <w:t>（4）其他因素评分标准：见评审办法前附表。</w:t>
      </w:r>
    </w:p>
    <w:p w14:paraId="25CE8FC4">
      <w:pPr>
        <w:pStyle w:val="3"/>
        <w:rPr>
          <w:color w:val="auto"/>
          <w:shd w:val="clear" w:color="FFFFFF" w:fill="D9D9D9"/>
        </w:rPr>
      </w:pPr>
      <w:bookmarkStart w:id="838" w:name="_Toc30578"/>
      <w:bookmarkStart w:id="839" w:name="_Toc5324"/>
      <w:bookmarkStart w:id="840" w:name="_Toc4546"/>
      <w:bookmarkStart w:id="841" w:name="_Toc15998"/>
      <w:bookmarkStart w:id="842" w:name="_Toc13140"/>
      <w:bookmarkStart w:id="843" w:name="_Toc15043"/>
      <w:bookmarkStart w:id="844" w:name="_Toc17520"/>
      <w:bookmarkStart w:id="845" w:name="_Toc10097"/>
      <w:bookmarkStart w:id="846" w:name="_Toc22061"/>
      <w:r>
        <w:rPr>
          <w:rFonts w:hint="eastAsia"/>
          <w:color w:val="auto"/>
          <w:shd w:val="clear" w:color="FFFFFF" w:fill="D9D9D9"/>
        </w:rPr>
        <w:t>3. 评审程序</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2C285861">
      <w:pPr>
        <w:pStyle w:val="4"/>
        <w:ind w:firstLine="422"/>
        <w:rPr>
          <w:color w:val="auto"/>
          <w:shd w:val="clear" w:color="FFFFFF" w:fill="D9D9D9"/>
        </w:rPr>
      </w:pPr>
      <w:bookmarkStart w:id="847" w:name="_Toc10455"/>
      <w:bookmarkStart w:id="848" w:name="_Toc26580"/>
      <w:bookmarkStart w:id="849" w:name="_Toc509218781"/>
      <w:bookmarkStart w:id="850" w:name="_Toc33106457"/>
      <w:bookmarkStart w:id="851" w:name="_Toc3058"/>
      <w:bookmarkStart w:id="852" w:name="_Toc1673"/>
      <w:bookmarkStart w:id="853" w:name="_Toc430530505"/>
      <w:bookmarkStart w:id="854" w:name="_Toc287620756"/>
      <w:bookmarkStart w:id="855" w:name="_Toc20000"/>
      <w:bookmarkStart w:id="856" w:name="_Toc57795934"/>
      <w:bookmarkStart w:id="857" w:name="_Toc14558"/>
      <w:bookmarkStart w:id="858" w:name="_Toc277082623"/>
      <w:bookmarkStart w:id="859" w:name="_Toc287607817"/>
      <w:bookmarkStart w:id="860" w:name="_Toc224103389"/>
      <w:bookmarkStart w:id="861" w:name="_Toc12468"/>
      <w:bookmarkStart w:id="862" w:name="_Toc200513203"/>
      <w:r>
        <w:rPr>
          <w:rFonts w:hint="eastAsia"/>
          <w:color w:val="auto"/>
          <w:shd w:val="clear" w:color="FFFFFF" w:fill="D9D9D9"/>
        </w:rPr>
        <w:t>3.1 初步评审</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30D3F2C6">
      <w:pPr>
        <w:ind w:firstLine="420"/>
        <w:rPr>
          <w:color w:val="auto"/>
          <w:shd w:val="clear" w:color="FFFFFF" w:fill="D9D9D9"/>
        </w:rPr>
      </w:pPr>
      <w:r>
        <w:rPr>
          <w:rFonts w:hint="eastAsia"/>
          <w:color w:val="auto"/>
          <w:shd w:val="clear" w:color="FFFFFF" w:fill="D9D9D9"/>
        </w:rPr>
        <w:t>3.1.1 评审委员会依据本章第 2.1 项规定的标准对响应文件进行初步评审。有一项不符合评审标准的，评审委员会应当否决其响应。</w:t>
      </w:r>
    </w:p>
    <w:p w14:paraId="3994D879">
      <w:pPr>
        <w:ind w:firstLine="420"/>
        <w:rPr>
          <w:color w:val="auto"/>
          <w:shd w:val="clear" w:color="FFFFFF" w:fill="D9D9D9"/>
        </w:rPr>
      </w:pPr>
      <w:r>
        <w:rPr>
          <w:rFonts w:hint="eastAsia"/>
          <w:color w:val="auto"/>
          <w:shd w:val="clear" w:color="FFFFFF" w:fill="D9D9D9"/>
        </w:rPr>
        <w:t>3.1.2 响应人有以下情形之一的，评审委员会应当否决其响应：</w:t>
      </w:r>
    </w:p>
    <w:p w14:paraId="209C7E9B">
      <w:pPr>
        <w:ind w:firstLine="420"/>
        <w:rPr>
          <w:color w:val="auto"/>
          <w:shd w:val="clear" w:color="FFFFFF" w:fill="D9D9D9"/>
        </w:rPr>
      </w:pPr>
      <w:r>
        <w:rPr>
          <w:rFonts w:hint="eastAsia"/>
          <w:color w:val="auto"/>
          <w:shd w:val="clear" w:color="FFFFFF" w:fill="D9D9D9"/>
        </w:rPr>
        <w:t>（1）第二章“响应人须知”第 1.4.3 项规定的任何一种情形的；</w:t>
      </w:r>
    </w:p>
    <w:p w14:paraId="645EDE33">
      <w:pPr>
        <w:ind w:firstLine="420"/>
        <w:rPr>
          <w:color w:val="auto"/>
          <w:shd w:val="clear" w:color="FFFFFF" w:fill="D9D9D9"/>
        </w:rPr>
      </w:pPr>
      <w:r>
        <w:rPr>
          <w:rFonts w:hint="eastAsia"/>
          <w:color w:val="auto"/>
          <w:shd w:val="clear" w:color="FFFFFF" w:fill="D9D9D9"/>
        </w:rPr>
        <w:t>（2）串通或弄虚作假或有其他违法行为的；</w:t>
      </w:r>
    </w:p>
    <w:p w14:paraId="6DAD1859">
      <w:pPr>
        <w:ind w:firstLine="420"/>
        <w:rPr>
          <w:color w:val="auto"/>
          <w:shd w:val="clear" w:color="FFFFFF" w:fill="D9D9D9"/>
        </w:rPr>
      </w:pPr>
      <w:r>
        <w:rPr>
          <w:rFonts w:hint="eastAsia"/>
          <w:color w:val="auto"/>
          <w:shd w:val="clear" w:color="FFFFFF" w:fill="D9D9D9"/>
        </w:rPr>
        <w:t>（3）不按评审委员会要求澄清、说明或补正的。</w:t>
      </w:r>
    </w:p>
    <w:p w14:paraId="5369877F">
      <w:pPr>
        <w:ind w:firstLine="420"/>
        <w:rPr>
          <w:color w:val="auto"/>
          <w:shd w:val="clear" w:color="FFFFFF" w:fill="D9D9D9"/>
        </w:rPr>
      </w:pPr>
      <w:r>
        <w:rPr>
          <w:rFonts w:hint="eastAsia"/>
          <w:color w:val="auto"/>
          <w:shd w:val="clear" w:color="FFFFFF" w:fill="D9D9D9"/>
        </w:rPr>
        <w:t>3.1.3 响应报价有算术错误及其他错误的，评审委员会按以下原则要求响应人对响应报价进行修正，并要求响应人书面澄清确认。响应人拒不澄清确认的，评审委员会应当否决其响应：</w:t>
      </w:r>
    </w:p>
    <w:p w14:paraId="0AFAEA11">
      <w:pPr>
        <w:ind w:firstLine="420"/>
        <w:rPr>
          <w:color w:val="auto"/>
          <w:shd w:val="clear" w:color="FFFFFF" w:fill="D9D9D9"/>
        </w:rPr>
      </w:pPr>
      <w:r>
        <w:rPr>
          <w:rFonts w:hint="eastAsia"/>
          <w:color w:val="auto"/>
          <w:shd w:val="clear" w:color="FFFFFF" w:fill="D9D9D9"/>
        </w:rPr>
        <w:t>（1）响应文件中的大写金额与小写金额不一致的，以大写金额为准；</w:t>
      </w:r>
    </w:p>
    <w:p w14:paraId="11A5F6ED">
      <w:pPr>
        <w:ind w:firstLine="420"/>
        <w:rPr>
          <w:color w:val="auto"/>
          <w:shd w:val="clear" w:color="FFFFFF" w:fill="D9D9D9"/>
        </w:rPr>
      </w:pPr>
      <w:r>
        <w:rPr>
          <w:rFonts w:hint="eastAsia"/>
          <w:color w:val="auto"/>
          <w:shd w:val="clear" w:color="FFFFFF" w:fill="D9D9D9"/>
        </w:rPr>
        <w:t>（2）总价金额与依据单价计算出的结果不一致的，以单价金额为准修正总价，但单价金额小数点有明显错误的除外。</w:t>
      </w:r>
    </w:p>
    <w:p w14:paraId="76893DA3">
      <w:pPr>
        <w:ind w:firstLine="420"/>
        <w:rPr>
          <w:color w:val="auto"/>
          <w:shd w:val="clear" w:color="FFFFFF" w:fill="D9D9D9"/>
        </w:rPr>
      </w:pPr>
      <w:r>
        <w:rPr>
          <w:rFonts w:hint="eastAsia"/>
          <w:color w:val="auto"/>
          <w:shd w:val="clear" w:color="FFFFFF" w:fill="D9D9D9"/>
        </w:rPr>
        <w:t>（3）响应文件中响应函与开标一览表不一致的，以响应函为准。</w:t>
      </w:r>
    </w:p>
    <w:p w14:paraId="4883AB85">
      <w:pPr>
        <w:ind w:firstLine="420"/>
        <w:rPr>
          <w:color w:val="auto"/>
          <w:shd w:val="clear" w:color="FFFFFF" w:fill="D9D9D9"/>
        </w:rPr>
      </w:pPr>
      <w:r>
        <w:rPr>
          <w:rFonts w:hint="eastAsia"/>
          <w:color w:val="auto"/>
          <w:shd w:val="clear" w:color="FFFFFF" w:fill="D9D9D9"/>
        </w:rPr>
        <w:t>（4）含税报价与不含税报价不一致的，以不含税报价修正含税报价。</w:t>
      </w:r>
    </w:p>
    <w:p w14:paraId="0D905202">
      <w:pPr>
        <w:ind w:firstLine="420"/>
        <w:rPr>
          <w:color w:val="auto"/>
          <w:shd w:val="clear" w:color="FFFFFF" w:fill="D9D9D9"/>
        </w:rPr>
      </w:pPr>
      <w:r>
        <w:rPr>
          <w:rFonts w:hint="eastAsia"/>
          <w:color w:val="auto"/>
          <w:shd w:val="clear" w:color="FFFFFF" w:fill="D9D9D9"/>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cs="宋体"/>
          <w:color w:val="auto"/>
          <w:kern w:val="0"/>
          <w:szCs w:val="21"/>
          <w:shd w:val="clear" w:color="FFFFFF" w:fill="D9D9D9"/>
        </w:rPr>
        <w:t>注：本款只适用于首次询比。重新询比经评审有有效响应人的，应当确定排名。</w:t>
      </w:r>
      <w:r>
        <w:rPr>
          <w:rFonts w:hint="eastAsia"/>
          <w:color w:val="auto"/>
          <w:shd w:val="clear" w:color="FFFFFF" w:fill="D9D9D9"/>
        </w:rPr>
        <w:t>）</w:t>
      </w:r>
    </w:p>
    <w:p w14:paraId="19AF622B">
      <w:pPr>
        <w:pStyle w:val="4"/>
        <w:ind w:firstLine="422"/>
        <w:rPr>
          <w:color w:val="auto"/>
          <w:shd w:val="clear" w:color="FFFFFF" w:fill="D9D9D9"/>
        </w:rPr>
      </w:pPr>
      <w:bookmarkStart w:id="863" w:name="_Toc287607818"/>
      <w:bookmarkStart w:id="864" w:name="_Toc11264"/>
      <w:bookmarkStart w:id="865" w:name="_Toc509218782"/>
      <w:bookmarkStart w:id="866" w:name="_Toc22296"/>
      <w:bookmarkStart w:id="867" w:name="_Toc200513204"/>
      <w:bookmarkStart w:id="868" w:name="_Toc32011"/>
      <w:bookmarkStart w:id="869" w:name="_Toc33106458"/>
      <w:bookmarkStart w:id="870" w:name="_Toc224103390"/>
      <w:bookmarkStart w:id="871" w:name="_Toc277082624"/>
      <w:bookmarkStart w:id="872" w:name="_Toc28205"/>
      <w:bookmarkStart w:id="873" w:name="_Toc57795935"/>
      <w:bookmarkStart w:id="874" w:name="_Toc29782"/>
      <w:bookmarkStart w:id="875" w:name="_Toc23454"/>
      <w:bookmarkStart w:id="876" w:name="_Toc287620757"/>
      <w:bookmarkStart w:id="877" w:name="_Toc20933"/>
      <w:bookmarkStart w:id="878" w:name="_Toc430530506"/>
      <w:r>
        <w:rPr>
          <w:rFonts w:hint="eastAsia"/>
          <w:color w:val="auto"/>
          <w:shd w:val="clear" w:color="FFFFFF" w:fill="D9D9D9"/>
        </w:rPr>
        <w:t>3.2 详细评审</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14:paraId="0AF939A1">
      <w:pPr>
        <w:ind w:firstLine="420"/>
        <w:rPr>
          <w:color w:val="auto"/>
          <w:shd w:val="clear" w:color="FFFFFF" w:fill="D9D9D9"/>
        </w:rPr>
      </w:pPr>
      <w:r>
        <w:rPr>
          <w:rFonts w:hint="eastAsia"/>
          <w:color w:val="auto"/>
          <w:shd w:val="clear" w:color="FFFFFF" w:fill="D9D9D9"/>
        </w:rPr>
        <w:t>3.2.1 评审委员会按本章第 2.2 项规定的量化因素和分值进行打分，并计算出综合评估得分。</w:t>
      </w:r>
    </w:p>
    <w:p w14:paraId="3B317438">
      <w:pPr>
        <w:ind w:firstLine="420"/>
        <w:rPr>
          <w:color w:val="auto"/>
          <w:shd w:val="clear" w:color="FFFFFF" w:fill="D9D9D9"/>
        </w:rPr>
      </w:pPr>
      <w:r>
        <w:rPr>
          <w:rFonts w:hint="eastAsia"/>
          <w:color w:val="auto"/>
          <w:shd w:val="clear" w:color="FFFFFF" w:fill="D9D9D9"/>
        </w:rPr>
        <w:t>3.2.2 评分分值计算保留小数点后两位，小数点后第三位“四舍五入”。</w:t>
      </w:r>
    </w:p>
    <w:p w14:paraId="4BDE3665">
      <w:pPr>
        <w:ind w:firstLine="420"/>
        <w:rPr>
          <w:color w:val="auto"/>
          <w:shd w:val="clear" w:color="FFFFFF" w:fill="D9D9D9"/>
        </w:rPr>
      </w:pPr>
      <w:r>
        <w:rPr>
          <w:rFonts w:hint="eastAsia"/>
          <w:color w:val="auto"/>
          <w:shd w:val="clear" w:color="FFFFFF" w:fill="D9D9D9"/>
        </w:rPr>
        <w:t>3.2.3 响应人得分=A+B+C+D，</w:t>
      </w:r>
      <w:r>
        <w:rPr>
          <w:color w:val="auto"/>
          <w:shd w:val="clear" w:color="FFFFFF" w:fill="D9D9D9"/>
        </w:rPr>
        <w:t>若无其他因素D=0</w:t>
      </w:r>
      <w:r>
        <w:rPr>
          <w:rFonts w:hint="eastAsia"/>
          <w:color w:val="auto"/>
          <w:shd w:val="clear" w:color="FFFFFF" w:fill="D9D9D9"/>
        </w:rPr>
        <w:t>。</w:t>
      </w:r>
    </w:p>
    <w:p w14:paraId="58433317">
      <w:pPr>
        <w:pStyle w:val="4"/>
        <w:ind w:firstLine="422"/>
        <w:rPr>
          <w:color w:val="auto"/>
          <w:shd w:val="clear" w:color="FFFFFF" w:fill="D9D9D9"/>
        </w:rPr>
      </w:pPr>
      <w:bookmarkStart w:id="879" w:name="_Toc19247"/>
      <w:bookmarkStart w:id="880" w:name="_Toc24570"/>
      <w:bookmarkStart w:id="881" w:name="_Toc10634"/>
      <w:bookmarkStart w:id="882" w:name="_Toc15671"/>
      <w:bookmarkStart w:id="883" w:name="_Toc3048"/>
      <w:bookmarkStart w:id="884" w:name="_Toc9186"/>
      <w:r>
        <w:rPr>
          <w:rFonts w:hint="eastAsia"/>
          <w:color w:val="auto"/>
          <w:shd w:val="clear" w:color="FFFFFF" w:fill="D9D9D9"/>
        </w:rPr>
        <w:t>3.3 响应文件的澄清和补正</w:t>
      </w:r>
      <w:bookmarkEnd w:id="879"/>
      <w:bookmarkEnd w:id="880"/>
      <w:bookmarkEnd w:id="881"/>
      <w:bookmarkEnd w:id="882"/>
      <w:bookmarkEnd w:id="883"/>
      <w:bookmarkEnd w:id="884"/>
    </w:p>
    <w:p w14:paraId="6D398E98">
      <w:pPr>
        <w:ind w:firstLine="420"/>
        <w:rPr>
          <w:color w:val="auto"/>
          <w:shd w:val="clear" w:color="FFFFFF" w:fill="D9D9D9"/>
        </w:rPr>
      </w:pPr>
      <w:r>
        <w:rPr>
          <w:rFonts w:hint="eastAsia"/>
          <w:color w:val="auto"/>
          <w:shd w:val="clear" w:color="FFFFFF" w:fill="D9D9D9"/>
        </w:rPr>
        <w:t>3.3.1 在评审过程中，评审委员会可以书面形式要求响应人对所提交响应文件中不明确的内容进行书面澄清或说明，或者对细微偏差进行补正。评审委员会不接受响应人主动提出的澄清、说明或补正。</w:t>
      </w:r>
    </w:p>
    <w:p w14:paraId="54DE44AA">
      <w:pPr>
        <w:ind w:firstLine="420"/>
        <w:rPr>
          <w:color w:val="auto"/>
          <w:shd w:val="clear" w:color="FFFFFF" w:fill="D9D9D9"/>
        </w:rPr>
      </w:pPr>
      <w:r>
        <w:rPr>
          <w:rFonts w:hint="eastAsia"/>
          <w:color w:val="auto"/>
          <w:shd w:val="clear" w:color="FFFFFF" w:fill="D9D9D9"/>
        </w:rPr>
        <w:t>3.3.2 澄清、说明和补正不得改变响应文件的实质性内容。响应人的书面澄清、说明和补正属于响应文件的组成部分。</w:t>
      </w:r>
    </w:p>
    <w:p w14:paraId="41FD8399">
      <w:pPr>
        <w:ind w:firstLine="420"/>
        <w:rPr>
          <w:color w:val="auto"/>
          <w:shd w:val="clear" w:color="FFFFFF" w:fill="D9D9D9"/>
        </w:rPr>
      </w:pPr>
      <w:r>
        <w:rPr>
          <w:rFonts w:hint="eastAsia"/>
          <w:color w:val="auto"/>
          <w:shd w:val="clear" w:color="FFFFFF" w:fill="D9D9D9"/>
        </w:rPr>
        <w:t>3.3.3 评审委员会对响应人提交的澄清、说明或补正有疑问的，可以要求响应人进一步澄清、说明或补正，直至满足评审委员会的要求。</w:t>
      </w:r>
    </w:p>
    <w:p w14:paraId="7DAEFD37">
      <w:pPr>
        <w:pStyle w:val="4"/>
        <w:ind w:firstLine="422"/>
        <w:rPr>
          <w:color w:val="auto"/>
          <w:shd w:val="clear" w:color="FFFFFF" w:fill="D9D9D9"/>
        </w:rPr>
      </w:pPr>
      <w:bookmarkStart w:id="885" w:name="_Toc430530508"/>
      <w:bookmarkStart w:id="886" w:name="_Toc22267"/>
      <w:bookmarkStart w:id="887" w:name="_Toc277082626"/>
      <w:bookmarkStart w:id="888" w:name="_Toc7109"/>
      <w:bookmarkStart w:id="889" w:name="_Toc224103392"/>
      <w:bookmarkStart w:id="890" w:name="_Toc28455"/>
      <w:bookmarkStart w:id="891" w:name="_Toc22609"/>
      <w:bookmarkStart w:id="892" w:name="_Toc12332"/>
      <w:bookmarkStart w:id="893" w:name="_Toc509218784"/>
      <w:bookmarkStart w:id="894" w:name="_Toc287620759"/>
      <w:bookmarkStart w:id="895" w:name="_Toc287607820"/>
      <w:bookmarkStart w:id="896" w:name="_Toc31387"/>
      <w:bookmarkStart w:id="897" w:name="_Toc4941"/>
      <w:bookmarkStart w:id="898" w:name="_Toc200513206"/>
      <w:bookmarkStart w:id="899" w:name="_Toc57795937"/>
      <w:bookmarkStart w:id="900" w:name="_Toc33106460"/>
      <w:r>
        <w:rPr>
          <w:rFonts w:hint="eastAsia"/>
          <w:color w:val="auto"/>
          <w:shd w:val="clear" w:color="FFFFFF" w:fill="D9D9D9"/>
        </w:rPr>
        <w:t>3.4 评审结果</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14:paraId="6DC23054">
      <w:pPr>
        <w:ind w:firstLine="420"/>
        <w:rPr>
          <w:color w:val="auto"/>
          <w:shd w:val="clear" w:color="FFFFFF" w:fill="D9D9D9"/>
        </w:rPr>
      </w:pPr>
      <w:r>
        <w:rPr>
          <w:rFonts w:hint="eastAsia"/>
          <w:color w:val="auto"/>
          <w:shd w:val="clear" w:color="FFFFFF" w:fill="D9D9D9"/>
        </w:rPr>
        <w:t>3.4.1 评审委员会按照评审</w:t>
      </w:r>
      <w:r>
        <w:rPr>
          <w:color w:val="auto"/>
          <w:shd w:val="clear" w:color="FFFFFF" w:fill="D9D9D9"/>
        </w:rPr>
        <w:t>办法前附表约定的原则确定排序</w:t>
      </w:r>
      <w:r>
        <w:rPr>
          <w:rFonts w:hint="eastAsia"/>
          <w:color w:val="auto"/>
          <w:shd w:val="clear" w:color="FFFFFF" w:fill="D9D9D9"/>
        </w:rPr>
        <w:t>。</w:t>
      </w:r>
    </w:p>
    <w:p w14:paraId="05708D18">
      <w:pPr>
        <w:ind w:firstLine="420"/>
        <w:rPr>
          <w:color w:val="auto"/>
          <w:shd w:val="clear" w:color="FFFFFF" w:fill="D9D9D9"/>
        </w:rPr>
      </w:pPr>
      <w:r>
        <w:rPr>
          <w:rFonts w:hint="eastAsia"/>
          <w:color w:val="auto"/>
          <w:shd w:val="clear" w:color="FFFFFF" w:fill="D9D9D9"/>
        </w:rPr>
        <w:t>3.4.2 评审委员会完成评审后，应当向采购人提交书面评审报告。</w:t>
      </w:r>
    </w:p>
    <w:p w14:paraId="11DD35EC">
      <w:pPr>
        <w:ind w:firstLine="420"/>
        <w:rPr>
          <w:color w:val="auto"/>
        </w:rPr>
      </w:pPr>
      <w:r>
        <w:rPr>
          <w:rFonts w:hint="eastAsia"/>
          <w:color w:val="auto"/>
        </w:rPr>
        <w:br w:type="page"/>
      </w:r>
    </w:p>
    <w:bookmarkEnd w:id="733"/>
    <w:bookmarkEnd w:id="734"/>
    <w:bookmarkEnd w:id="735"/>
    <w:bookmarkEnd w:id="736"/>
    <w:bookmarkEnd w:id="737"/>
    <w:bookmarkEnd w:id="757"/>
    <w:p w14:paraId="566227E2">
      <w:pPr>
        <w:pStyle w:val="2"/>
        <w:rPr>
          <w:color w:val="auto"/>
        </w:rPr>
      </w:pPr>
      <w:bookmarkStart w:id="901" w:name="_Toc22777"/>
      <w:bookmarkStart w:id="902" w:name="_Toc509218785"/>
      <w:bookmarkStart w:id="903" w:name="_Toc8474"/>
      <w:bookmarkStart w:id="904" w:name="_Toc15178"/>
      <w:bookmarkStart w:id="905" w:name="_Toc430530509"/>
      <w:bookmarkStart w:id="906" w:name="_Toc22353"/>
      <w:bookmarkStart w:id="907" w:name="_Toc21792"/>
      <w:bookmarkStart w:id="908" w:name="_Toc26253"/>
      <w:bookmarkStart w:id="909" w:name="_Toc15061"/>
      <w:bookmarkStart w:id="910" w:name="_Toc19870"/>
      <w:bookmarkStart w:id="911" w:name="_Toc29940"/>
      <w:bookmarkStart w:id="912" w:name="_Toc10046"/>
      <w:bookmarkStart w:id="913" w:name="_Toc30857"/>
      <w:bookmarkStart w:id="914" w:name="_Toc12914"/>
      <w:bookmarkStart w:id="915" w:name="_Toc21561"/>
      <w:bookmarkStart w:id="916" w:name="_Toc15507"/>
      <w:bookmarkStart w:id="917" w:name="_Toc21030"/>
      <w:bookmarkStart w:id="918" w:name="_Toc2952"/>
      <w:bookmarkStart w:id="919" w:name="_Toc7547"/>
      <w:bookmarkStart w:id="920" w:name="_Toc57820636"/>
      <w:bookmarkStart w:id="921" w:name="_Toc3987"/>
      <w:bookmarkStart w:id="922" w:name="_Toc29726"/>
      <w:bookmarkStart w:id="923" w:name="_Toc16303"/>
      <w:bookmarkStart w:id="924" w:name="_Toc12079"/>
      <w:bookmarkStart w:id="925" w:name="_Toc17630"/>
      <w:bookmarkStart w:id="926" w:name="_Toc6378"/>
      <w:bookmarkStart w:id="927" w:name="_Toc7529"/>
      <w:bookmarkStart w:id="928" w:name="_Toc2186"/>
      <w:bookmarkStart w:id="929" w:name="_Toc9379"/>
      <w:r>
        <w:rPr>
          <w:rFonts w:hint="eastAsia"/>
          <w:color w:val="auto"/>
        </w:rPr>
        <w:t>第四章 合同条款及格式</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14:paraId="08B9481D">
      <w:pPr>
        <w:ind w:firstLine="560"/>
        <w:jc w:val="right"/>
        <w:rPr>
          <w:rStyle w:val="22"/>
          <w:rFonts w:ascii="宋体"/>
          <w:b w:val="0"/>
          <w:color w:val="auto"/>
          <w:sz w:val="28"/>
          <w:szCs w:val="28"/>
        </w:rPr>
      </w:pPr>
      <w:bookmarkStart w:id="930" w:name="_Toc24851"/>
      <w:bookmarkStart w:id="931" w:name="_Toc25784"/>
      <w:r>
        <w:rPr>
          <w:rStyle w:val="22"/>
          <w:rFonts w:hint="eastAsia" w:ascii="宋体"/>
          <w:b w:val="0"/>
          <w:color w:val="auto"/>
          <w:sz w:val="28"/>
          <w:szCs w:val="28"/>
        </w:rPr>
        <w:t>编号：</w:t>
      </w:r>
      <w:r>
        <w:rPr>
          <w:rStyle w:val="22"/>
          <w:rFonts w:ascii="宋体"/>
          <w:b w:val="0"/>
          <w:color w:val="auto"/>
          <w:sz w:val="28"/>
          <w:szCs w:val="28"/>
        </w:rPr>
        <w:t>SXYHXXKJ202_____</w:t>
      </w:r>
    </w:p>
    <w:p w14:paraId="47102B3F">
      <w:pPr>
        <w:ind w:firstLine="422"/>
        <w:jc w:val="center"/>
        <w:rPr>
          <w:rStyle w:val="22"/>
          <w:color w:val="auto"/>
          <w:szCs w:val="21"/>
        </w:rPr>
      </w:pPr>
    </w:p>
    <w:p w14:paraId="5257E365">
      <w:pPr>
        <w:ind w:firstLine="422"/>
        <w:jc w:val="center"/>
        <w:rPr>
          <w:rStyle w:val="22"/>
          <w:color w:val="auto"/>
          <w:szCs w:val="21"/>
        </w:rPr>
      </w:pPr>
    </w:p>
    <w:p w14:paraId="10BB7136">
      <w:pPr>
        <w:ind w:firstLine="560"/>
        <w:jc w:val="center"/>
        <w:rPr>
          <w:rStyle w:val="22"/>
          <w:rFonts w:ascii="宋体"/>
          <w:b w:val="0"/>
          <w:color w:val="auto"/>
          <w:sz w:val="28"/>
          <w:szCs w:val="28"/>
        </w:rPr>
      </w:pPr>
    </w:p>
    <w:p w14:paraId="01F2DE17">
      <w:pPr>
        <w:ind w:firstLine="422"/>
        <w:jc w:val="center"/>
        <w:rPr>
          <w:rStyle w:val="22"/>
          <w:color w:val="auto"/>
          <w:szCs w:val="21"/>
        </w:rPr>
      </w:pPr>
    </w:p>
    <w:p w14:paraId="5D3ED80B">
      <w:pPr>
        <w:ind w:firstLine="422"/>
        <w:jc w:val="center"/>
        <w:rPr>
          <w:rStyle w:val="22"/>
          <w:color w:val="auto"/>
          <w:szCs w:val="21"/>
        </w:rPr>
      </w:pPr>
    </w:p>
    <w:p w14:paraId="4EF306F9">
      <w:pPr>
        <w:ind w:firstLine="422"/>
        <w:jc w:val="center"/>
        <w:rPr>
          <w:rStyle w:val="22"/>
          <w:color w:val="auto"/>
          <w:szCs w:val="21"/>
        </w:rPr>
      </w:pPr>
    </w:p>
    <w:p w14:paraId="5C5F5B4B">
      <w:pPr>
        <w:ind w:firstLine="422"/>
        <w:jc w:val="center"/>
        <w:rPr>
          <w:rStyle w:val="22"/>
          <w:color w:val="auto"/>
          <w:szCs w:val="21"/>
        </w:rPr>
      </w:pPr>
    </w:p>
    <w:p w14:paraId="513E281C">
      <w:pPr>
        <w:jc w:val="center"/>
        <w:rPr>
          <w:rStyle w:val="22"/>
          <w:color w:val="auto"/>
          <w:sz w:val="36"/>
          <w:szCs w:val="21"/>
        </w:rPr>
      </w:pPr>
      <w:r>
        <w:rPr>
          <w:rStyle w:val="22"/>
          <w:rFonts w:hint="eastAsia" w:ascii="宋体"/>
          <w:color w:val="auto"/>
          <w:sz w:val="52"/>
          <w:szCs w:val="52"/>
        </w:rPr>
        <w:t>重庆三峡银行</w:t>
      </w:r>
      <w:r>
        <w:rPr>
          <w:rStyle w:val="22"/>
          <w:rFonts w:ascii="宋体"/>
          <w:color w:val="auto"/>
          <w:sz w:val="52"/>
          <w:szCs w:val="52"/>
        </w:rPr>
        <w:t>第二代移动作业管理</w:t>
      </w:r>
      <w:r>
        <w:rPr>
          <w:rStyle w:val="22"/>
          <w:rFonts w:hint="eastAsia" w:ascii="宋体"/>
          <w:color w:val="auto"/>
          <w:sz w:val="52"/>
          <w:szCs w:val="52"/>
        </w:rPr>
        <w:t>系统</w:t>
      </w:r>
      <w:r>
        <w:rPr>
          <w:rStyle w:val="22"/>
          <w:rFonts w:ascii="宋体"/>
          <w:color w:val="auto"/>
          <w:sz w:val="52"/>
          <w:szCs w:val="52"/>
        </w:rPr>
        <w:t>建设项目</w:t>
      </w:r>
      <w:r>
        <w:rPr>
          <w:rStyle w:val="22"/>
          <w:rFonts w:hint="eastAsia" w:ascii="宋体"/>
          <w:color w:val="auto"/>
          <w:sz w:val="52"/>
          <w:szCs w:val="52"/>
        </w:rPr>
        <w:t>合同</w:t>
      </w:r>
    </w:p>
    <w:p w14:paraId="5895882C">
      <w:pPr>
        <w:ind w:firstLine="422"/>
        <w:jc w:val="center"/>
        <w:rPr>
          <w:rStyle w:val="22"/>
          <w:color w:val="auto"/>
          <w:szCs w:val="21"/>
        </w:rPr>
      </w:pPr>
    </w:p>
    <w:p w14:paraId="7B95DD31">
      <w:pPr>
        <w:ind w:firstLine="422"/>
        <w:jc w:val="center"/>
        <w:rPr>
          <w:rStyle w:val="22"/>
          <w:color w:val="auto"/>
          <w:szCs w:val="21"/>
        </w:rPr>
      </w:pPr>
    </w:p>
    <w:p w14:paraId="3F539F81">
      <w:pPr>
        <w:ind w:firstLine="422"/>
        <w:jc w:val="center"/>
        <w:rPr>
          <w:b/>
          <w:bCs/>
          <w:color w:val="auto"/>
        </w:rPr>
      </w:pPr>
    </w:p>
    <w:p w14:paraId="061AF7B3">
      <w:pPr>
        <w:ind w:firstLine="422"/>
        <w:jc w:val="center"/>
        <w:rPr>
          <w:b/>
          <w:bCs/>
          <w:color w:val="auto"/>
        </w:rPr>
      </w:pPr>
    </w:p>
    <w:p w14:paraId="539D4DB7">
      <w:pPr>
        <w:ind w:firstLine="422"/>
        <w:jc w:val="center"/>
        <w:rPr>
          <w:b/>
          <w:bCs/>
          <w:color w:val="auto"/>
        </w:rPr>
      </w:pPr>
    </w:p>
    <w:p w14:paraId="54BB4E74">
      <w:pPr>
        <w:ind w:firstLine="422"/>
        <w:rPr>
          <w:b/>
          <w:bCs/>
          <w:color w:val="auto"/>
        </w:rPr>
      </w:pPr>
    </w:p>
    <w:p w14:paraId="30BDA457">
      <w:pPr>
        <w:ind w:firstLine="422"/>
        <w:jc w:val="center"/>
        <w:rPr>
          <w:b/>
          <w:bCs/>
          <w:color w:val="auto"/>
        </w:rPr>
      </w:pPr>
    </w:p>
    <w:p w14:paraId="76565C2B">
      <w:pPr>
        <w:ind w:firstLine="422"/>
        <w:jc w:val="center"/>
        <w:rPr>
          <w:b/>
          <w:bCs/>
          <w:color w:val="auto"/>
        </w:rPr>
      </w:pPr>
    </w:p>
    <w:p w14:paraId="6A1AD129">
      <w:pPr>
        <w:ind w:firstLine="422"/>
        <w:jc w:val="center"/>
        <w:rPr>
          <w:b/>
          <w:bCs/>
          <w:color w:val="auto"/>
        </w:rPr>
      </w:pPr>
    </w:p>
    <w:p w14:paraId="21D6EF55">
      <w:pPr>
        <w:ind w:left="840" w:firstLine="420" w:firstLineChars="0"/>
        <w:rPr>
          <w:rFonts w:ascii="宋体"/>
          <w:b/>
          <w:bCs/>
          <w:color w:val="auto"/>
          <w:sz w:val="28"/>
        </w:rPr>
      </w:pPr>
      <w:r>
        <w:rPr>
          <w:rFonts w:hint="eastAsia" w:ascii="宋体"/>
          <w:b/>
          <w:bCs/>
          <w:color w:val="auto"/>
          <w:sz w:val="28"/>
        </w:rPr>
        <w:t>委托方（甲方）：重庆三峡银行股份有限公司</w:t>
      </w:r>
    </w:p>
    <w:p w14:paraId="4DA856C3">
      <w:pPr>
        <w:tabs>
          <w:tab w:val="right" w:pos="8312"/>
        </w:tabs>
        <w:ind w:left="840" w:firstLine="420" w:firstLineChars="0"/>
        <w:rPr>
          <w:rFonts w:ascii="宋体"/>
          <w:b/>
          <w:bCs/>
          <w:color w:val="auto"/>
          <w:sz w:val="28"/>
        </w:rPr>
      </w:pPr>
      <w:r>
        <w:rPr>
          <w:rFonts w:hint="eastAsia" w:ascii="宋体"/>
          <w:b/>
          <w:bCs/>
          <w:color w:val="auto"/>
          <w:sz w:val="28"/>
        </w:rPr>
        <w:t>受托方（乙方）：</w:t>
      </w:r>
      <w:r>
        <w:rPr>
          <w:rFonts w:ascii="宋体"/>
          <w:b/>
          <w:bCs/>
          <w:color w:val="auto"/>
          <w:sz w:val="28"/>
        </w:rPr>
        <w:tab/>
      </w:r>
    </w:p>
    <w:p w14:paraId="4E154A3C">
      <w:pPr>
        <w:ind w:left="840" w:firstLine="420" w:firstLineChars="0"/>
        <w:rPr>
          <w:rFonts w:ascii="宋体"/>
          <w:b/>
          <w:color w:val="auto"/>
        </w:rPr>
      </w:pPr>
      <w:r>
        <w:rPr>
          <w:rFonts w:hint="eastAsia" w:ascii="宋体"/>
          <w:b/>
          <w:bCs/>
          <w:color w:val="auto"/>
          <w:sz w:val="28"/>
        </w:rPr>
        <w:t>签订地点</w:t>
      </w:r>
      <w:r>
        <w:rPr>
          <w:rFonts w:hint="eastAsia" w:ascii="宋体"/>
          <w:b/>
          <w:color w:val="auto"/>
          <w:sz w:val="28"/>
        </w:rPr>
        <w:t>：重庆</w:t>
      </w:r>
    </w:p>
    <w:p w14:paraId="21CDC002">
      <w:pPr>
        <w:ind w:firstLine="643"/>
        <w:rPr>
          <w:b/>
          <w:color w:val="auto"/>
          <w:sz w:val="32"/>
        </w:rPr>
      </w:pPr>
    </w:p>
    <w:p w14:paraId="6D4BC8E4">
      <w:pPr>
        <w:ind w:firstLine="420"/>
        <w:jc w:val="center"/>
        <w:rPr>
          <w:rFonts w:ascii="宋体"/>
          <w:b/>
          <w:color w:val="auto"/>
          <w:sz w:val="32"/>
          <w:szCs w:val="32"/>
        </w:rPr>
      </w:pPr>
      <w:r>
        <w:rPr>
          <w:color w:val="auto"/>
        </w:rPr>
        <w:br w:type="page"/>
      </w:r>
      <w:r>
        <w:rPr>
          <w:rFonts w:hint="eastAsia" w:ascii="宋体"/>
          <w:b/>
          <w:color w:val="auto"/>
          <w:sz w:val="32"/>
          <w:szCs w:val="32"/>
        </w:rPr>
        <w:t>目录</w:t>
      </w:r>
    </w:p>
    <w:p w14:paraId="1C63DE16">
      <w:pPr>
        <w:ind w:firstLine="422"/>
        <w:rPr>
          <w:rFonts w:ascii="宋体"/>
          <w:b/>
          <w:bCs/>
          <w:color w:val="auto"/>
        </w:rPr>
      </w:pPr>
      <w:r>
        <w:rPr>
          <w:rFonts w:hint="eastAsia" w:ascii="宋体"/>
          <w:b/>
          <w:bCs/>
          <w:color w:val="auto"/>
        </w:rPr>
        <w:t>第一条定义</w:t>
      </w:r>
    </w:p>
    <w:p w14:paraId="5E188395">
      <w:pPr>
        <w:ind w:firstLine="422"/>
        <w:rPr>
          <w:rFonts w:ascii="宋体"/>
          <w:b/>
          <w:bCs/>
          <w:color w:val="auto"/>
        </w:rPr>
      </w:pPr>
      <w:r>
        <w:rPr>
          <w:rFonts w:hint="eastAsia" w:ascii="宋体"/>
          <w:b/>
          <w:bCs/>
          <w:color w:val="auto"/>
        </w:rPr>
        <w:t>第二条项目名称、内容及要求</w:t>
      </w:r>
    </w:p>
    <w:p w14:paraId="4110DF28">
      <w:pPr>
        <w:ind w:firstLine="422"/>
        <w:rPr>
          <w:rFonts w:ascii="宋体"/>
          <w:b/>
          <w:bCs/>
          <w:color w:val="auto"/>
        </w:rPr>
      </w:pPr>
      <w:r>
        <w:rPr>
          <w:rFonts w:hint="eastAsia" w:ascii="宋体"/>
          <w:b/>
          <w:bCs/>
          <w:color w:val="auto"/>
        </w:rPr>
        <w:t>第三条项目履行的进度、期限、地点、地域、方式</w:t>
      </w:r>
    </w:p>
    <w:p w14:paraId="51CBEA2E">
      <w:pPr>
        <w:ind w:firstLine="422"/>
        <w:rPr>
          <w:rFonts w:ascii="宋体"/>
          <w:b/>
          <w:bCs/>
          <w:color w:val="auto"/>
        </w:rPr>
      </w:pPr>
      <w:r>
        <w:rPr>
          <w:rFonts w:hint="eastAsia" w:ascii="宋体"/>
          <w:b/>
          <w:bCs/>
          <w:color w:val="auto"/>
        </w:rPr>
        <w:t>第四条方案调整</w:t>
      </w:r>
    </w:p>
    <w:p w14:paraId="41D76D47">
      <w:pPr>
        <w:ind w:firstLine="422"/>
        <w:rPr>
          <w:rFonts w:ascii="宋体"/>
          <w:b/>
          <w:bCs/>
          <w:color w:val="auto"/>
        </w:rPr>
      </w:pPr>
      <w:r>
        <w:rPr>
          <w:rFonts w:hint="eastAsia" w:ascii="宋体"/>
          <w:b/>
          <w:bCs/>
          <w:color w:val="auto"/>
        </w:rPr>
        <w:t>第五条验收</w:t>
      </w:r>
    </w:p>
    <w:p w14:paraId="1527AFD9">
      <w:pPr>
        <w:ind w:firstLine="422"/>
        <w:rPr>
          <w:rFonts w:ascii="宋体"/>
          <w:b/>
          <w:bCs/>
          <w:color w:val="auto"/>
        </w:rPr>
      </w:pPr>
      <w:r>
        <w:rPr>
          <w:rFonts w:hint="eastAsia" w:ascii="宋体"/>
          <w:b/>
          <w:bCs/>
          <w:color w:val="auto"/>
        </w:rPr>
        <w:t>第六条交付使用后维护期、系统完善和保修维护服务</w:t>
      </w:r>
    </w:p>
    <w:p w14:paraId="4567EF78">
      <w:pPr>
        <w:ind w:firstLine="422"/>
        <w:rPr>
          <w:rFonts w:ascii="宋体"/>
          <w:b/>
          <w:bCs/>
          <w:color w:val="auto"/>
        </w:rPr>
      </w:pPr>
      <w:r>
        <w:rPr>
          <w:rFonts w:hint="eastAsia" w:ascii="宋体"/>
          <w:b/>
          <w:bCs/>
          <w:color w:val="auto"/>
        </w:rPr>
        <w:t>第七条技术辅导与培训</w:t>
      </w:r>
    </w:p>
    <w:p w14:paraId="6E824D9A">
      <w:pPr>
        <w:ind w:firstLine="422"/>
        <w:rPr>
          <w:rFonts w:ascii="宋体"/>
          <w:b/>
          <w:bCs/>
          <w:color w:val="auto"/>
        </w:rPr>
      </w:pPr>
      <w:r>
        <w:rPr>
          <w:rFonts w:hint="eastAsia" w:ascii="宋体"/>
          <w:b/>
          <w:bCs/>
          <w:color w:val="auto"/>
        </w:rPr>
        <w:t>第八条双方的权利、义务</w:t>
      </w:r>
    </w:p>
    <w:p w14:paraId="40CFA1C1">
      <w:pPr>
        <w:ind w:firstLine="422"/>
        <w:rPr>
          <w:rFonts w:ascii="宋体"/>
          <w:b/>
          <w:bCs/>
          <w:color w:val="auto"/>
        </w:rPr>
      </w:pPr>
      <w:r>
        <w:rPr>
          <w:rFonts w:hint="eastAsia" w:ascii="宋体"/>
          <w:b/>
          <w:bCs/>
          <w:color w:val="auto"/>
        </w:rPr>
        <w:t>第九条乙方的声明与保证</w:t>
      </w:r>
    </w:p>
    <w:p w14:paraId="1A04011C">
      <w:pPr>
        <w:ind w:firstLine="422"/>
        <w:rPr>
          <w:rFonts w:ascii="宋体"/>
          <w:b/>
          <w:bCs/>
          <w:color w:val="auto"/>
        </w:rPr>
      </w:pPr>
      <w:r>
        <w:rPr>
          <w:rFonts w:hint="eastAsia" w:ascii="宋体"/>
          <w:b/>
          <w:bCs/>
          <w:color w:val="auto"/>
        </w:rPr>
        <w:t>第十条知识产权</w:t>
      </w:r>
    </w:p>
    <w:p w14:paraId="6B008939">
      <w:pPr>
        <w:ind w:firstLine="422"/>
        <w:rPr>
          <w:rFonts w:ascii="宋体"/>
          <w:b/>
          <w:bCs/>
          <w:color w:val="auto"/>
        </w:rPr>
      </w:pPr>
      <w:r>
        <w:rPr>
          <w:rFonts w:hint="eastAsia" w:ascii="宋体"/>
          <w:b/>
          <w:bCs/>
          <w:color w:val="auto"/>
        </w:rPr>
        <w:t>第十一条第三方索赔</w:t>
      </w:r>
    </w:p>
    <w:p w14:paraId="377DF0B5">
      <w:pPr>
        <w:ind w:firstLine="422"/>
        <w:rPr>
          <w:rFonts w:ascii="宋体"/>
          <w:b/>
          <w:bCs/>
          <w:color w:val="auto"/>
        </w:rPr>
      </w:pPr>
      <w:r>
        <w:rPr>
          <w:rFonts w:hint="eastAsia" w:ascii="宋体"/>
          <w:b/>
          <w:bCs/>
          <w:color w:val="auto"/>
        </w:rPr>
        <w:t>第十二条保密</w:t>
      </w:r>
    </w:p>
    <w:p w14:paraId="75225555">
      <w:pPr>
        <w:ind w:firstLine="422"/>
        <w:rPr>
          <w:rFonts w:ascii="宋体"/>
          <w:b/>
          <w:bCs/>
          <w:color w:val="auto"/>
        </w:rPr>
      </w:pPr>
      <w:r>
        <w:rPr>
          <w:rFonts w:hint="eastAsia" w:ascii="宋体"/>
          <w:b/>
          <w:bCs/>
          <w:color w:val="auto"/>
        </w:rPr>
        <w:t>第十三条价格与支付</w:t>
      </w:r>
    </w:p>
    <w:p w14:paraId="7E604D68">
      <w:pPr>
        <w:ind w:firstLine="422"/>
        <w:rPr>
          <w:rFonts w:ascii="宋体"/>
          <w:b/>
          <w:bCs/>
          <w:color w:val="auto"/>
        </w:rPr>
      </w:pPr>
      <w:r>
        <w:rPr>
          <w:rFonts w:hint="eastAsia" w:ascii="宋体"/>
          <w:b/>
          <w:bCs/>
          <w:color w:val="auto"/>
        </w:rPr>
        <w:t>第十四条风险责任的承担</w:t>
      </w:r>
    </w:p>
    <w:p w14:paraId="6B8E28D7">
      <w:pPr>
        <w:ind w:firstLine="422"/>
        <w:rPr>
          <w:rFonts w:ascii="宋体"/>
          <w:b/>
          <w:bCs/>
          <w:color w:val="auto"/>
        </w:rPr>
      </w:pPr>
      <w:r>
        <w:rPr>
          <w:rFonts w:hint="eastAsia" w:ascii="宋体"/>
          <w:b/>
          <w:bCs/>
          <w:color w:val="auto"/>
        </w:rPr>
        <w:t>第十五条违约与赔偿</w:t>
      </w:r>
    </w:p>
    <w:p w14:paraId="3000E705">
      <w:pPr>
        <w:ind w:firstLine="422"/>
        <w:rPr>
          <w:rFonts w:ascii="宋体"/>
          <w:b/>
          <w:bCs/>
          <w:color w:val="auto"/>
        </w:rPr>
      </w:pPr>
      <w:r>
        <w:rPr>
          <w:rFonts w:hint="eastAsia" w:ascii="宋体"/>
          <w:b/>
          <w:bCs/>
          <w:color w:val="auto"/>
        </w:rPr>
        <w:t>第十六条合同的解除</w:t>
      </w:r>
    </w:p>
    <w:p w14:paraId="4CD5FD7D">
      <w:pPr>
        <w:ind w:firstLine="422"/>
        <w:rPr>
          <w:rFonts w:ascii="宋体"/>
          <w:b/>
          <w:bCs/>
          <w:color w:val="auto"/>
        </w:rPr>
      </w:pPr>
      <w:r>
        <w:rPr>
          <w:rFonts w:hint="eastAsia" w:ascii="宋体"/>
          <w:b/>
          <w:bCs/>
          <w:color w:val="auto"/>
        </w:rPr>
        <w:t>第十七条合同变更及转让</w:t>
      </w:r>
    </w:p>
    <w:p w14:paraId="1E827D1B">
      <w:pPr>
        <w:ind w:firstLine="422"/>
        <w:rPr>
          <w:rFonts w:ascii="宋体"/>
          <w:b/>
          <w:bCs/>
          <w:color w:val="auto"/>
        </w:rPr>
      </w:pPr>
      <w:r>
        <w:rPr>
          <w:rFonts w:hint="eastAsia" w:ascii="宋体"/>
          <w:b/>
          <w:bCs/>
          <w:color w:val="auto"/>
        </w:rPr>
        <w:t>第十八条争议解决</w:t>
      </w:r>
    </w:p>
    <w:p w14:paraId="1D7736AF">
      <w:pPr>
        <w:ind w:firstLine="422"/>
        <w:rPr>
          <w:rFonts w:ascii="宋体"/>
          <w:b/>
          <w:bCs/>
          <w:color w:val="auto"/>
        </w:rPr>
      </w:pPr>
      <w:r>
        <w:rPr>
          <w:rFonts w:hint="eastAsia" w:ascii="宋体"/>
          <w:b/>
          <w:bCs/>
          <w:color w:val="auto"/>
        </w:rPr>
        <w:t>第十九条通知与送达</w:t>
      </w:r>
    </w:p>
    <w:p w14:paraId="25D32A7B">
      <w:pPr>
        <w:ind w:firstLine="422"/>
        <w:rPr>
          <w:rFonts w:ascii="宋体"/>
          <w:b/>
          <w:bCs/>
          <w:color w:val="auto"/>
        </w:rPr>
      </w:pPr>
      <w:r>
        <w:rPr>
          <w:rFonts w:hint="eastAsia" w:ascii="宋体"/>
          <w:b/>
          <w:bCs/>
          <w:color w:val="auto"/>
        </w:rPr>
        <w:t>第二十条合同生效</w:t>
      </w:r>
    </w:p>
    <w:p w14:paraId="362F55FC">
      <w:pPr>
        <w:ind w:firstLine="422"/>
        <w:rPr>
          <w:rFonts w:ascii="宋体"/>
          <w:b/>
          <w:bCs/>
          <w:color w:val="auto"/>
        </w:rPr>
      </w:pPr>
      <w:r>
        <w:rPr>
          <w:rFonts w:hint="eastAsia" w:ascii="宋体"/>
          <w:b/>
          <w:bCs/>
          <w:color w:val="auto"/>
        </w:rPr>
        <w:t>第二十一条不可抗力</w:t>
      </w:r>
    </w:p>
    <w:p w14:paraId="71160FF7">
      <w:pPr>
        <w:ind w:firstLine="422"/>
        <w:rPr>
          <w:rFonts w:ascii="宋体"/>
          <w:b/>
          <w:bCs/>
          <w:color w:val="auto"/>
        </w:rPr>
      </w:pPr>
      <w:r>
        <w:rPr>
          <w:rFonts w:hint="eastAsia" w:ascii="宋体"/>
          <w:b/>
          <w:bCs/>
          <w:color w:val="auto"/>
        </w:rPr>
        <w:t>第二十二条反商业贿赂</w:t>
      </w:r>
    </w:p>
    <w:p w14:paraId="57218EF6">
      <w:pPr>
        <w:ind w:firstLine="422"/>
        <w:rPr>
          <w:rFonts w:ascii="宋体"/>
          <w:b/>
          <w:bCs/>
          <w:color w:val="auto"/>
        </w:rPr>
      </w:pPr>
      <w:r>
        <w:rPr>
          <w:rFonts w:hint="eastAsia" w:ascii="宋体"/>
          <w:b/>
          <w:bCs/>
          <w:color w:val="auto"/>
        </w:rPr>
        <w:t>第二十三条附件</w:t>
      </w:r>
    </w:p>
    <w:p w14:paraId="5B76FD97">
      <w:pPr>
        <w:ind w:firstLine="422"/>
        <w:rPr>
          <w:rFonts w:ascii="宋体"/>
          <w:b/>
          <w:bCs/>
          <w:color w:val="auto"/>
        </w:rPr>
      </w:pPr>
      <w:r>
        <w:rPr>
          <w:rFonts w:hint="eastAsia" w:ascii="宋体"/>
          <w:b/>
          <w:bCs/>
          <w:color w:val="auto"/>
        </w:rPr>
        <w:t>第二十四条其他</w:t>
      </w:r>
    </w:p>
    <w:p w14:paraId="4CFDF671">
      <w:pPr>
        <w:ind w:firstLine="420"/>
        <w:rPr>
          <w:rFonts w:ascii="宋体"/>
          <w:color w:val="auto"/>
        </w:rPr>
      </w:pPr>
    </w:p>
    <w:p w14:paraId="02AF5B10">
      <w:pPr>
        <w:ind w:firstLine="420"/>
        <w:rPr>
          <w:rFonts w:ascii="宋体"/>
          <w:b/>
          <w:color w:val="auto"/>
          <w:u w:val="single"/>
        </w:rPr>
      </w:pPr>
      <w:r>
        <w:rPr>
          <w:rFonts w:hint="eastAsia" w:ascii="宋体"/>
          <w:color w:val="auto"/>
        </w:rPr>
        <w:br w:type="page"/>
      </w:r>
      <w:r>
        <w:rPr>
          <w:rFonts w:hint="eastAsia" w:ascii="宋体"/>
          <w:b/>
          <w:color w:val="auto"/>
        </w:rPr>
        <w:t>委托方: 重庆三峡银行股份有限公司（以下简称“甲方”）</w:t>
      </w:r>
    </w:p>
    <w:p w14:paraId="1C45285E">
      <w:pPr>
        <w:ind w:firstLine="420"/>
        <w:rPr>
          <w:rFonts w:ascii="宋体"/>
          <w:color w:val="auto"/>
        </w:rPr>
      </w:pPr>
      <w:r>
        <w:rPr>
          <w:rFonts w:hint="eastAsia" w:ascii="宋体"/>
          <w:color w:val="auto"/>
        </w:rPr>
        <w:t>法定代表人：刘江桥</w:t>
      </w:r>
    </w:p>
    <w:p w14:paraId="242A506E">
      <w:pPr>
        <w:ind w:firstLine="420"/>
        <w:rPr>
          <w:rFonts w:ascii="宋体"/>
          <w:color w:val="auto"/>
        </w:rPr>
      </w:pPr>
      <w:r>
        <w:rPr>
          <w:rFonts w:hint="eastAsia" w:ascii="宋体"/>
          <w:color w:val="auto"/>
        </w:rPr>
        <w:t>地址：</w:t>
      </w:r>
      <w:r>
        <w:rPr>
          <w:rFonts w:ascii="宋体"/>
          <w:color w:val="auto"/>
        </w:rPr>
        <w:t>重庆市</w:t>
      </w:r>
      <w:r>
        <w:rPr>
          <w:rFonts w:hint="eastAsia" w:ascii="宋体"/>
          <w:color w:val="auto"/>
        </w:rPr>
        <w:t>两江新区</w:t>
      </w:r>
      <w:r>
        <w:rPr>
          <w:rFonts w:ascii="宋体"/>
          <w:color w:val="auto"/>
        </w:rPr>
        <w:t>嘉州路88号中渝国际都会4号写字楼</w:t>
      </w:r>
    </w:p>
    <w:p w14:paraId="065C51DF">
      <w:pPr>
        <w:ind w:firstLine="420"/>
        <w:rPr>
          <w:rFonts w:ascii="宋体"/>
          <w:color w:val="auto"/>
        </w:rPr>
      </w:pPr>
      <w:r>
        <w:rPr>
          <w:rFonts w:hint="eastAsia" w:ascii="宋体"/>
          <w:color w:val="auto"/>
        </w:rPr>
        <w:t>邮政编码：</w:t>
      </w:r>
    </w:p>
    <w:p w14:paraId="1EBD9D8C">
      <w:pPr>
        <w:ind w:firstLine="420"/>
        <w:rPr>
          <w:rFonts w:ascii="宋体"/>
          <w:color w:val="auto"/>
        </w:rPr>
      </w:pPr>
      <w:r>
        <w:rPr>
          <w:rFonts w:hint="eastAsia" w:ascii="宋体"/>
          <w:color w:val="auto"/>
        </w:rPr>
        <w:t>联系人：</w:t>
      </w:r>
    </w:p>
    <w:p w14:paraId="6B51CCEA">
      <w:pPr>
        <w:ind w:firstLine="420"/>
        <w:rPr>
          <w:rFonts w:ascii="宋体"/>
          <w:color w:val="auto"/>
        </w:rPr>
      </w:pPr>
      <w:r>
        <w:rPr>
          <w:rFonts w:hint="eastAsia" w:ascii="宋体"/>
          <w:color w:val="auto"/>
        </w:rPr>
        <w:t>电话：</w:t>
      </w:r>
    </w:p>
    <w:p w14:paraId="3C2F0AAB">
      <w:pPr>
        <w:ind w:firstLine="420"/>
        <w:rPr>
          <w:rFonts w:ascii="宋体"/>
          <w:color w:val="auto"/>
        </w:rPr>
      </w:pPr>
      <w:r>
        <w:rPr>
          <w:rFonts w:hint="eastAsia" w:ascii="宋体"/>
          <w:color w:val="auto"/>
        </w:rPr>
        <w:t>电子邮箱：</w:t>
      </w:r>
    </w:p>
    <w:p w14:paraId="73B91E0E">
      <w:pPr>
        <w:ind w:firstLine="420"/>
        <w:rPr>
          <w:rFonts w:ascii="宋体"/>
          <w:color w:val="auto"/>
        </w:rPr>
      </w:pPr>
    </w:p>
    <w:p w14:paraId="1FC2FA6C">
      <w:pPr>
        <w:ind w:firstLine="422"/>
        <w:rPr>
          <w:rFonts w:ascii="宋体"/>
          <w:b/>
          <w:color w:val="auto"/>
        </w:rPr>
      </w:pPr>
      <w:r>
        <w:rPr>
          <w:rFonts w:hint="eastAsia" w:ascii="宋体"/>
          <w:b/>
          <w:color w:val="auto"/>
        </w:rPr>
        <w:t>受托方：XXXXXXXXXXXXX（以下简称“乙方”）</w:t>
      </w:r>
    </w:p>
    <w:p w14:paraId="160DB41D">
      <w:pPr>
        <w:ind w:firstLine="420"/>
        <w:rPr>
          <w:rFonts w:ascii="宋体"/>
          <w:color w:val="auto"/>
        </w:rPr>
      </w:pPr>
      <w:r>
        <w:rPr>
          <w:rFonts w:hint="eastAsia" w:ascii="宋体"/>
          <w:color w:val="auto"/>
        </w:rPr>
        <w:t xml:space="preserve">法定代表人： </w:t>
      </w:r>
    </w:p>
    <w:p w14:paraId="26C37CD3">
      <w:pPr>
        <w:ind w:firstLine="420"/>
        <w:rPr>
          <w:rFonts w:ascii="宋体"/>
          <w:color w:val="auto"/>
        </w:rPr>
      </w:pPr>
      <w:r>
        <w:rPr>
          <w:rFonts w:hint="eastAsia" w:ascii="宋体"/>
          <w:color w:val="auto"/>
        </w:rPr>
        <w:t>地址：</w:t>
      </w:r>
    </w:p>
    <w:p w14:paraId="34987EA6">
      <w:pPr>
        <w:ind w:firstLine="420"/>
        <w:rPr>
          <w:rFonts w:ascii="宋体"/>
          <w:color w:val="auto"/>
        </w:rPr>
      </w:pPr>
      <w:r>
        <w:rPr>
          <w:rFonts w:hint="eastAsia" w:ascii="宋体"/>
          <w:color w:val="auto"/>
        </w:rPr>
        <w:t>邮政编码：</w:t>
      </w:r>
    </w:p>
    <w:p w14:paraId="593F7188">
      <w:pPr>
        <w:ind w:firstLine="420"/>
        <w:rPr>
          <w:rFonts w:ascii="宋体"/>
          <w:color w:val="auto"/>
        </w:rPr>
      </w:pPr>
      <w:r>
        <w:rPr>
          <w:rFonts w:hint="eastAsia" w:ascii="宋体"/>
          <w:color w:val="auto"/>
        </w:rPr>
        <w:t xml:space="preserve">开户银行： </w:t>
      </w:r>
    </w:p>
    <w:p w14:paraId="71F35654">
      <w:pPr>
        <w:ind w:firstLine="420"/>
        <w:rPr>
          <w:rFonts w:ascii="宋体"/>
          <w:color w:val="auto"/>
        </w:rPr>
      </w:pPr>
      <w:r>
        <w:rPr>
          <w:rFonts w:hint="eastAsia" w:ascii="宋体"/>
          <w:color w:val="auto"/>
        </w:rPr>
        <w:t>账号：</w:t>
      </w:r>
    </w:p>
    <w:p w14:paraId="1F43D23F">
      <w:pPr>
        <w:ind w:firstLine="420"/>
        <w:rPr>
          <w:rFonts w:ascii="宋体"/>
          <w:color w:val="auto"/>
        </w:rPr>
      </w:pPr>
      <w:r>
        <w:rPr>
          <w:rFonts w:hint="eastAsia" w:ascii="宋体"/>
          <w:color w:val="auto"/>
        </w:rPr>
        <w:t>税号：</w:t>
      </w:r>
    </w:p>
    <w:p w14:paraId="07E58CF0">
      <w:pPr>
        <w:ind w:firstLine="420"/>
        <w:rPr>
          <w:rFonts w:ascii="宋体"/>
          <w:color w:val="auto"/>
        </w:rPr>
      </w:pPr>
      <w:r>
        <w:rPr>
          <w:rFonts w:hint="eastAsia" w:ascii="宋体"/>
          <w:color w:val="auto"/>
        </w:rPr>
        <w:t xml:space="preserve">联系人： </w:t>
      </w:r>
    </w:p>
    <w:p w14:paraId="0C5C82B2">
      <w:pPr>
        <w:ind w:firstLine="420"/>
        <w:rPr>
          <w:rFonts w:ascii="宋体"/>
          <w:color w:val="auto"/>
        </w:rPr>
      </w:pPr>
      <w:r>
        <w:rPr>
          <w:rFonts w:hint="eastAsia" w:ascii="宋体"/>
          <w:color w:val="auto"/>
        </w:rPr>
        <w:t>电话：</w:t>
      </w:r>
    </w:p>
    <w:p w14:paraId="540EA048">
      <w:pPr>
        <w:ind w:firstLine="420"/>
        <w:rPr>
          <w:rFonts w:ascii="宋体"/>
          <w:color w:val="auto"/>
        </w:rPr>
      </w:pPr>
      <w:r>
        <w:rPr>
          <w:rFonts w:hint="eastAsia" w:ascii="宋体"/>
          <w:color w:val="auto"/>
        </w:rPr>
        <w:t>手机：</w:t>
      </w:r>
    </w:p>
    <w:p w14:paraId="5027DE25">
      <w:pPr>
        <w:ind w:firstLine="420"/>
        <w:rPr>
          <w:rFonts w:ascii="宋体"/>
          <w:color w:val="auto"/>
        </w:rPr>
      </w:pPr>
      <w:r>
        <w:rPr>
          <w:rFonts w:hint="eastAsia" w:ascii="宋体"/>
          <w:color w:val="auto"/>
        </w:rPr>
        <w:t>传真：</w:t>
      </w:r>
    </w:p>
    <w:p w14:paraId="2482122D">
      <w:pPr>
        <w:ind w:firstLine="420"/>
        <w:rPr>
          <w:rFonts w:ascii="宋体"/>
          <w:color w:val="auto"/>
          <w:lang w:val="en-GB"/>
        </w:rPr>
      </w:pPr>
      <w:r>
        <w:rPr>
          <w:rFonts w:hint="eastAsia" w:ascii="宋体"/>
          <w:color w:val="auto"/>
        </w:rPr>
        <w:t>电子邮箱：</w:t>
      </w:r>
    </w:p>
    <w:p w14:paraId="2D000EEE">
      <w:pPr>
        <w:ind w:firstLine="422"/>
        <w:rPr>
          <w:rFonts w:ascii="宋体"/>
          <w:b/>
          <w:color w:val="auto"/>
        </w:rPr>
      </w:pPr>
      <w:r>
        <w:rPr>
          <w:rFonts w:ascii="宋体"/>
          <w:b/>
          <w:color w:val="auto"/>
        </w:rPr>
        <w:br w:type="page"/>
      </w:r>
      <w:r>
        <w:rPr>
          <w:rFonts w:hint="eastAsia" w:ascii="宋体"/>
          <w:b/>
          <w:color w:val="auto"/>
        </w:rPr>
        <w:t>鉴于：</w:t>
      </w:r>
    </w:p>
    <w:p w14:paraId="76499E58">
      <w:pPr>
        <w:ind w:firstLine="420"/>
        <w:rPr>
          <w:rFonts w:ascii="宋体"/>
          <w:color w:val="auto"/>
        </w:rPr>
      </w:pPr>
      <w:r>
        <w:rPr>
          <w:rStyle w:val="60"/>
          <w:rFonts w:hint="eastAsia" w:ascii="宋体"/>
          <w:color w:val="auto"/>
          <w:kern w:val="0"/>
        </w:rPr>
        <w:t>乙方具有良好的开发实施能力，甲乙双方经友好协商并达成一致，依据相关法律、法规的规定，就甲方委托</w:t>
      </w:r>
      <w:r>
        <w:rPr>
          <w:rStyle w:val="60"/>
          <w:rFonts w:ascii="宋体"/>
          <w:color w:val="auto"/>
          <w:kern w:val="0"/>
        </w:rPr>
        <w:t>乙方</w:t>
      </w:r>
      <w:r>
        <w:rPr>
          <w:rStyle w:val="60"/>
          <w:rFonts w:hint="eastAsia" w:ascii="宋体"/>
          <w:color w:val="auto"/>
          <w:kern w:val="0"/>
        </w:rPr>
        <w:t>进行</w:t>
      </w:r>
      <w:r>
        <w:rPr>
          <w:rStyle w:val="60"/>
          <w:rFonts w:ascii="宋体"/>
          <w:color w:val="auto"/>
          <w:kern w:val="0"/>
        </w:rPr>
        <w:t>项目实施与技术支持</w:t>
      </w:r>
      <w:r>
        <w:rPr>
          <w:rStyle w:val="60"/>
          <w:rFonts w:hint="eastAsia" w:ascii="宋体"/>
          <w:color w:val="auto"/>
          <w:kern w:val="0"/>
        </w:rPr>
        <w:t>，向乙方订购</w:t>
      </w:r>
      <w:r>
        <w:rPr>
          <w:rStyle w:val="60"/>
          <w:rFonts w:ascii="宋体"/>
          <w:color w:val="auto"/>
          <w:kern w:val="0"/>
          <w:u w:val="single"/>
        </w:rPr>
        <w:t>移动作业管理系统</w:t>
      </w:r>
      <w:r>
        <w:rPr>
          <w:rStyle w:val="60"/>
          <w:rFonts w:hint="eastAsia" w:ascii="宋体"/>
          <w:color w:val="auto"/>
          <w:kern w:val="0"/>
          <w:u w:val="single"/>
        </w:rPr>
        <w:t>产品</w:t>
      </w:r>
      <w:r>
        <w:rPr>
          <w:rStyle w:val="60"/>
          <w:rFonts w:hint="eastAsia" w:ascii="宋体"/>
          <w:color w:val="auto"/>
          <w:kern w:val="0"/>
        </w:rPr>
        <w:t>（含定制化开发）的相关事宜订立本合同，</w:t>
      </w:r>
      <w:r>
        <w:rPr>
          <w:rFonts w:hint="eastAsia" w:ascii="宋体"/>
          <w:color w:val="auto"/>
        </w:rPr>
        <w:t>以资信守：</w:t>
      </w:r>
    </w:p>
    <w:p w14:paraId="014C86AA">
      <w:pPr>
        <w:ind w:firstLine="413" w:firstLineChars="196"/>
        <w:jc w:val="left"/>
        <w:rPr>
          <w:rFonts w:ascii="宋体"/>
          <w:b/>
          <w:color w:val="auto"/>
        </w:rPr>
      </w:pPr>
      <w:bookmarkStart w:id="932" w:name="_Toc84948025"/>
      <w:r>
        <w:rPr>
          <w:rFonts w:hint="eastAsia" w:ascii="宋体"/>
          <w:b/>
          <w:color w:val="auto"/>
        </w:rPr>
        <w:t>第一条 定义</w:t>
      </w:r>
      <w:bookmarkEnd w:id="932"/>
    </w:p>
    <w:p w14:paraId="6FD6E26D">
      <w:pPr>
        <w:ind w:firstLine="420"/>
        <w:rPr>
          <w:rFonts w:ascii="宋体"/>
          <w:color w:val="auto"/>
        </w:rPr>
      </w:pPr>
      <w:r>
        <w:rPr>
          <w:rFonts w:hint="eastAsia" w:ascii="宋体"/>
          <w:color w:val="auto"/>
        </w:rPr>
        <w:t>在本合同中，除非有相反的表述，下列术语具有如下含义：</w:t>
      </w:r>
    </w:p>
    <w:p w14:paraId="21B9520F">
      <w:pPr>
        <w:ind w:firstLine="420"/>
        <w:rPr>
          <w:rFonts w:ascii="宋体"/>
          <w:color w:val="auto"/>
        </w:rPr>
      </w:pPr>
      <w:r>
        <w:rPr>
          <w:rFonts w:hint="eastAsia" w:ascii="宋体"/>
          <w:color w:val="auto"/>
        </w:rPr>
        <w:t>1.1“项目”系指乙方受甲方委托，单独为本合同目的依据合同附件一《工作（需求）说明书》的产品实施与数据迁移服务。</w:t>
      </w:r>
    </w:p>
    <w:p w14:paraId="5D8DBC06">
      <w:pPr>
        <w:ind w:firstLine="420"/>
        <w:rPr>
          <w:rFonts w:ascii="宋体"/>
          <w:color w:val="auto"/>
        </w:rPr>
      </w:pPr>
      <w:r>
        <w:rPr>
          <w:rFonts w:hint="eastAsia" w:ascii="宋体"/>
          <w:color w:val="auto"/>
        </w:rPr>
        <w:t>1.2“客户化工作”指项目交付乙方后乙方对甲方的需求进行开发实施。</w:t>
      </w:r>
    </w:p>
    <w:p w14:paraId="21732353">
      <w:pPr>
        <w:ind w:firstLine="420"/>
        <w:rPr>
          <w:rFonts w:ascii="宋体"/>
          <w:color w:val="auto"/>
        </w:rPr>
      </w:pPr>
      <w:r>
        <w:rPr>
          <w:rFonts w:hint="eastAsia" w:ascii="宋体"/>
          <w:color w:val="auto"/>
        </w:rPr>
        <w:t>1.3“产品实施数据迁移”指乙方产品的安装配置和业务数据迁移服务。</w:t>
      </w:r>
    </w:p>
    <w:p w14:paraId="591EE544">
      <w:pPr>
        <w:ind w:firstLine="420"/>
        <w:rPr>
          <w:rFonts w:ascii="宋体"/>
          <w:color w:val="auto"/>
        </w:rPr>
      </w:pPr>
      <w:r>
        <w:rPr>
          <w:rFonts w:hint="eastAsia" w:ascii="宋体"/>
          <w:color w:val="auto"/>
        </w:rPr>
        <w:t>1.4“</w:t>
      </w:r>
      <w:r>
        <w:rPr>
          <w:rFonts w:ascii="宋体"/>
          <w:color w:val="auto"/>
        </w:rPr>
        <w:t>移动作业管理</w:t>
      </w:r>
      <w:r>
        <w:rPr>
          <w:rFonts w:hint="eastAsia" w:ascii="宋体"/>
          <w:color w:val="auto"/>
          <w:lang w:val="en-GB"/>
        </w:rPr>
        <w:t>系统</w:t>
      </w:r>
      <w:r>
        <w:rPr>
          <w:rFonts w:hint="eastAsia" w:ascii="宋体"/>
          <w:color w:val="auto"/>
        </w:rPr>
        <w:t>业务”指乙方提供给甲方的附件一中所涵盖的业务功能。</w:t>
      </w:r>
    </w:p>
    <w:p w14:paraId="114E51CD">
      <w:pPr>
        <w:ind w:left="-2" w:leftChars="-1" w:firstLine="420"/>
        <w:rPr>
          <w:rFonts w:ascii="宋体" w:cs="宋体"/>
          <w:color w:val="auto"/>
          <w:szCs w:val="24"/>
        </w:rPr>
      </w:pPr>
      <w:r>
        <w:rPr>
          <w:rFonts w:hint="eastAsia" w:ascii="宋体" w:cs="宋体"/>
          <w:color w:val="auto"/>
          <w:szCs w:val="24"/>
        </w:rPr>
        <w:t>1.</w:t>
      </w:r>
      <w:r>
        <w:rPr>
          <w:rFonts w:ascii="宋体" w:cs="宋体"/>
          <w:color w:val="auto"/>
          <w:szCs w:val="24"/>
        </w:rPr>
        <w:t>5</w:t>
      </w:r>
      <w:r>
        <w:rPr>
          <w:rFonts w:hint="eastAsia" w:ascii="宋体" w:cs="宋体"/>
          <w:color w:val="auto"/>
          <w:szCs w:val="24"/>
        </w:rPr>
        <w:t>“缺陷逃逸率”：后一测试阶段测试期间发现的缺陷个数/（当前测试期间所发现的缺陷个数+后一测试期间发现的缺陷个数）。</w:t>
      </w:r>
    </w:p>
    <w:p w14:paraId="04A4CEC3">
      <w:pPr>
        <w:ind w:left="-2" w:leftChars="-1" w:firstLine="420"/>
        <w:rPr>
          <w:rFonts w:ascii="宋体" w:cs="宋体"/>
          <w:color w:val="auto"/>
          <w:szCs w:val="24"/>
        </w:rPr>
      </w:pPr>
      <w:r>
        <w:rPr>
          <w:rFonts w:hint="eastAsia" w:ascii="宋体" w:cs="宋体"/>
          <w:color w:val="auto"/>
          <w:szCs w:val="24"/>
        </w:rPr>
        <w:t>1.</w:t>
      </w:r>
      <w:r>
        <w:rPr>
          <w:rFonts w:ascii="宋体" w:cs="宋体"/>
          <w:color w:val="auto"/>
          <w:szCs w:val="24"/>
        </w:rPr>
        <w:t>6</w:t>
      </w:r>
      <w:r>
        <w:rPr>
          <w:rFonts w:hint="eastAsia" w:ascii="宋体" w:cs="宋体"/>
          <w:color w:val="auto"/>
          <w:szCs w:val="24"/>
        </w:rPr>
        <w:t>“试运行”：项目上线后进入试运行阶段，项目试运行至少3个月。在试运行期间，甲方随时将发现的逃逸的缺陷通知乙方，乙方在最快的时间内予以响应。</w:t>
      </w:r>
    </w:p>
    <w:p w14:paraId="419CC58A">
      <w:pPr>
        <w:ind w:left="-2" w:leftChars="-1" w:firstLine="420"/>
        <w:rPr>
          <w:rFonts w:ascii="宋体" w:cs="宋体"/>
          <w:color w:val="auto"/>
          <w:szCs w:val="24"/>
        </w:rPr>
      </w:pPr>
      <w:r>
        <w:rPr>
          <w:rFonts w:hint="eastAsia" w:ascii="宋体" w:cs="宋体"/>
          <w:color w:val="auto"/>
          <w:szCs w:val="24"/>
        </w:rPr>
        <w:t>1.</w:t>
      </w:r>
      <w:r>
        <w:rPr>
          <w:rFonts w:ascii="宋体" w:cs="宋体"/>
          <w:color w:val="auto"/>
          <w:szCs w:val="24"/>
        </w:rPr>
        <w:t>7</w:t>
      </w:r>
      <w:r>
        <w:rPr>
          <w:rFonts w:hint="eastAsia" w:ascii="宋体" w:cs="宋体"/>
          <w:color w:val="auto"/>
          <w:szCs w:val="24"/>
        </w:rPr>
        <w:t>“响应时间”：指乙方就甲方提出的问题予以答复的时间。</w:t>
      </w:r>
    </w:p>
    <w:p w14:paraId="3653098A">
      <w:pPr>
        <w:ind w:left="-2" w:leftChars="-1" w:firstLine="420"/>
        <w:rPr>
          <w:rFonts w:ascii="宋体" w:cs="宋体"/>
          <w:color w:val="auto"/>
          <w:szCs w:val="24"/>
        </w:rPr>
      </w:pPr>
      <w:r>
        <w:rPr>
          <w:rFonts w:hint="eastAsia" w:ascii="宋体" w:cs="宋体"/>
          <w:color w:val="auto"/>
          <w:szCs w:val="24"/>
        </w:rPr>
        <w:t>1.8“特别重大运营中断事件（I级）”：（1）由于重要信息系统服务中断或重要数据损毁、丢失、泄露，造成经济秩序混乱或重大经济损失、影响金融稳定的，或对公众利益造成特别严重损害的事件；（2）由于重要信息系统服务异常，在业务服务时段导致甲方业务无法正常开展达3小时（含）以上的事件；（3）业务服务时段以外，重要信息系统出现的故障或事件救治未果，可能产生上述1至2类的事件。</w:t>
      </w:r>
    </w:p>
    <w:p w14:paraId="2AA1B4C6">
      <w:pPr>
        <w:ind w:left="-2" w:leftChars="-1" w:firstLine="420"/>
        <w:rPr>
          <w:rFonts w:ascii="宋体" w:cs="宋体"/>
          <w:color w:val="auto"/>
          <w:szCs w:val="24"/>
        </w:rPr>
      </w:pPr>
      <w:r>
        <w:rPr>
          <w:rFonts w:hint="eastAsia" w:ascii="宋体" w:cs="宋体"/>
          <w:color w:val="auto"/>
          <w:szCs w:val="24"/>
        </w:rPr>
        <w:t>1.9“重大运营中断事件（II级）”：（1）由于重要信息系统服务中断或重要数据损毁、丢失、泄露，对银行或客户利益造成严重损害的事件；（2）由于重要信息系统服务异常，在业务服务时段导致甲方业务无法正常开展达1小时（含）以上的事件；（3）业务服务时段以外，重要信息系统出现的故障或事件救治未果，可能产生上述1至2类的事件。</w:t>
      </w:r>
    </w:p>
    <w:p w14:paraId="18A0C7E7">
      <w:pPr>
        <w:ind w:left="-2" w:leftChars="-1" w:firstLine="420"/>
        <w:rPr>
          <w:rFonts w:ascii="宋体" w:cs="宋体"/>
          <w:color w:val="auto"/>
          <w:szCs w:val="24"/>
        </w:rPr>
      </w:pPr>
      <w:r>
        <w:rPr>
          <w:rFonts w:hint="eastAsia" w:ascii="宋体" w:cs="宋体"/>
          <w:color w:val="auto"/>
          <w:szCs w:val="24"/>
        </w:rPr>
        <w:t>1.10 “较大运营中断事件（III级）”：（1）由于重要信息系统服务中断或重要数据损毁、丢失、泄露，对银行或客户利益造成较大损害的事件；（2）由于重要信息系统服务异常，在业务服务时段导致甲方业务无法正常开展达半个小时（含）以上的事件；（3）业务服务时段以外，重要信息系统出现的故障或事件救治未果，可能产生上述1至2类的事件。</w:t>
      </w:r>
    </w:p>
    <w:p w14:paraId="6B21B6B1">
      <w:pPr>
        <w:ind w:left="-2" w:leftChars="-1" w:firstLine="420"/>
        <w:rPr>
          <w:rFonts w:ascii="宋体" w:cs="宋体"/>
          <w:color w:val="auto"/>
          <w:szCs w:val="24"/>
        </w:rPr>
      </w:pPr>
      <w:r>
        <w:rPr>
          <w:rFonts w:hint="eastAsia" w:ascii="宋体" w:cs="宋体"/>
          <w:color w:val="auto"/>
          <w:szCs w:val="24"/>
        </w:rPr>
        <w:t>1.1</w:t>
      </w:r>
      <w:r>
        <w:rPr>
          <w:rFonts w:ascii="宋体" w:cs="宋体"/>
          <w:color w:val="auto"/>
          <w:szCs w:val="24"/>
        </w:rPr>
        <w:t>1</w:t>
      </w:r>
      <w:r>
        <w:rPr>
          <w:rFonts w:hint="eastAsia" w:ascii="宋体" w:cs="宋体"/>
          <w:color w:val="auto"/>
          <w:szCs w:val="24"/>
        </w:rPr>
        <w:t>“致命缺陷”：导致对被描述的主要对象的理解错误、不可行、不能运转、对业务和整个系统可能造成重大损失或损害。比如：（1）由于程序所引起的死机，非法退出；（2）死循环；（3）导致数据库发生死锁；（4）数据通讯错误；（5）严重的数值计算错误；（6）财务错误；（7）导致出现上述III级（含）以上事件；（8）对客户造成不利影响；（9）引起客户投诉；（10）对甲方声誉造成不良影响。</w:t>
      </w:r>
    </w:p>
    <w:p w14:paraId="076A92F9">
      <w:pPr>
        <w:ind w:left="-2" w:leftChars="-1" w:firstLine="420"/>
        <w:rPr>
          <w:rFonts w:ascii="宋体" w:cs="宋体"/>
          <w:color w:val="auto"/>
          <w:szCs w:val="24"/>
        </w:rPr>
      </w:pPr>
      <w:r>
        <w:rPr>
          <w:rFonts w:hint="eastAsia" w:ascii="宋体" w:cs="宋体"/>
          <w:color w:val="auto"/>
          <w:szCs w:val="24"/>
        </w:rPr>
        <w:t>1.1</w:t>
      </w:r>
      <w:r>
        <w:rPr>
          <w:rFonts w:ascii="宋体" w:cs="宋体"/>
          <w:color w:val="auto"/>
          <w:szCs w:val="24"/>
        </w:rPr>
        <w:t>2</w:t>
      </w:r>
      <w:r>
        <w:rPr>
          <w:rFonts w:hint="eastAsia" w:ascii="宋体" w:cs="宋体"/>
          <w:color w:val="auto"/>
          <w:szCs w:val="24"/>
        </w:rPr>
        <w:t>“严重缺陷”：对被描述的部分对象的理解或实现错误，部分的系统或模块不可行或不能运转或部分系统和模块缺失，对整个系统有重大影响或可能造成部分的损失和损害。比如：（1）功能不符；（2）数据流错误；（3）程序接口错误；（4）轻微的数值计算错误。</w:t>
      </w:r>
    </w:p>
    <w:p w14:paraId="1E9518E0">
      <w:pPr>
        <w:ind w:left="-2" w:leftChars="-1" w:firstLine="420"/>
        <w:rPr>
          <w:rFonts w:ascii="宋体" w:cs="宋体"/>
          <w:color w:val="auto"/>
          <w:szCs w:val="24"/>
        </w:rPr>
      </w:pPr>
      <w:r>
        <w:rPr>
          <w:rFonts w:hint="eastAsia" w:ascii="宋体" w:cs="宋体"/>
          <w:color w:val="auto"/>
          <w:szCs w:val="24"/>
        </w:rPr>
        <w:t>1.1</w:t>
      </w:r>
      <w:r>
        <w:rPr>
          <w:rFonts w:ascii="宋体" w:cs="宋体"/>
          <w:color w:val="auto"/>
          <w:szCs w:val="24"/>
        </w:rPr>
        <w:t>3</w:t>
      </w:r>
      <w:r>
        <w:rPr>
          <w:rFonts w:hint="eastAsia" w:ascii="宋体" w:cs="宋体"/>
          <w:color w:val="auto"/>
          <w:szCs w:val="24"/>
        </w:rPr>
        <w:t xml:space="preserve"> “一般缺陷”：系统中部分单元模块或单个功能描述和实现有错误、有偏差、不一致或有缺失，不影响模块的正常运行，或有影响但可以有替代办法或避免办法。比如：（1）界面错误(详细文档)；（2）打印内容、格式错误；（3）简单的输入限制未放在前台进行控制；（4）删除操作未给出提示。</w:t>
      </w:r>
    </w:p>
    <w:p w14:paraId="58E8089D">
      <w:pPr>
        <w:ind w:left="-2" w:leftChars="-1" w:firstLine="420"/>
        <w:rPr>
          <w:rFonts w:ascii="宋体" w:cs="宋体"/>
          <w:color w:val="auto"/>
          <w:szCs w:val="24"/>
        </w:rPr>
      </w:pPr>
      <w:r>
        <w:rPr>
          <w:rFonts w:hint="eastAsia" w:ascii="宋体" w:cs="宋体"/>
          <w:color w:val="auto"/>
          <w:szCs w:val="24"/>
        </w:rPr>
        <w:t>1.1</w:t>
      </w:r>
      <w:r>
        <w:rPr>
          <w:rFonts w:ascii="宋体" w:cs="宋体"/>
          <w:color w:val="auto"/>
          <w:szCs w:val="24"/>
        </w:rPr>
        <w:t>4</w:t>
      </w:r>
      <w:r>
        <w:rPr>
          <w:rFonts w:hint="eastAsia" w:ascii="宋体" w:cs="宋体"/>
          <w:color w:val="auto"/>
          <w:szCs w:val="24"/>
        </w:rPr>
        <w:t xml:space="preserve"> “微小缺陷”：基本不影响系统的运行和功能的实现。但是与标准、规范和定义不一致。比如：（1）辅助说明描述不清楚；（2）显示格式不规范；（3）长时间操作未给用户进度提示；（4）提示窗口文字未采用行业术语；（5）可输入区域和只读区域没有明显的区分标志；（6）系统处理未优化。</w:t>
      </w:r>
    </w:p>
    <w:p w14:paraId="589F5490">
      <w:pPr>
        <w:ind w:left="-2" w:leftChars="-1" w:firstLine="420"/>
        <w:rPr>
          <w:rFonts w:ascii="宋体"/>
          <w:color w:val="auto"/>
          <w:szCs w:val="24"/>
        </w:rPr>
      </w:pPr>
      <w:r>
        <w:rPr>
          <w:rFonts w:hint="eastAsia" w:ascii="宋体"/>
          <w:color w:val="auto"/>
          <w:szCs w:val="24"/>
        </w:rPr>
        <w:t>1.1</w:t>
      </w:r>
      <w:r>
        <w:rPr>
          <w:rFonts w:ascii="宋体"/>
          <w:color w:val="auto"/>
          <w:szCs w:val="24"/>
        </w:rPr>
        <w:t>5</w:t>
      </w:r>
      <w:r>
        <w:rPr>
          <w:rFonts w:hint="eastAsia" w:ascii="宋体"/>
          <w:color w:val="auto"/>
          <w:szCs w:val="24"/>
        </w:rPr>
        <w:t>“重大缺陷”：指严重缺陷和致命缺陷。</w:t>
      </w:r>
    </w:p>
    <w:p w14:paraId="737BF6DF">
      <w:pPr>
        <w:ind w:left="-2" w:leftChars="-1" w:firstLine="420"/>
        <w:rPr>
          <w:rFonts w:ascii="宋体"/>
          <w:color w:val="auto"/>
        </w:rPr>
      </w:pPr>
    </w:p>
    <w:p w14:paraId="75BAABB0">
      <w:pPr>
        <w:ind w:firstLine="413" w:firstLineChars="196"/>
        <w:rPr>
          <w:rFonts w:ascii="宋体"/>
          <w:b/>
          <w:color w:val="auto"/>
        </w:rPr>
      </w:pPr>
      <w:bookmarkStart w:id="933" w:name="_Toc84948026"/>
      <w:r>
        <w:rPr>
          <w:rFonts w:hint="eastAsia" w:ascii="宋体"/>
          <w:b/>
          <w:color w:val="auto"/>
        </w:rPr>
        <w:t>第二条</w:t>
      </w:r>
      <w:bookmarkStart w:id="934" w:name="_Toc58337493"/>
      <w:r>
        <w:rPr>
          <w:rFonts w:hint="eastAsia" w:ascii="宋体"/>
          <w:b/>
          <w:color w:val="auto"/>
        </w:rPr>
        <w:t xml:space="preserve"> 项目名称</w:t>
      </w:r>
      <w:r>
        <w:rPr>
          <w:rFonts w:ascii="宋体"/>
          <w:b/>
          <w:color w:val="auto"/>
        </w:rPr>
        <w:t>、</w:t>
      </w:r>
      <w:r>
        <w:rPr>
          <w:rFonts w:hint="eastAsia" w:ascii="宋体"/>
          <w:b/>
          <w:color w:val="auto"/>
        </w:rPr>
        <w:t>内容及要求</w:t>
      </w:r>
      <w:bookmarkEnd w:id="933"/>
      <w:bookmarkEnd w:id="934"/>
    </w:p>
    <w:p w14:paraId="155987AF">
      <w:pPr>
        <w:ind w:firstLine="420"/>
        <w:rPr>
          <w:rFonts w:ascii="宋体"/>
          <w:color w:val="auto"/>
        </w:rPr>
      </w:pPr>
      <w:r>
        <w:rPr>
          <w:rFonts w:hint="eastAsia" w:ascii="宋体"/>
          <w:color w:val="auto"/>
        </w:rPr>
        <w:t>2.1项目名称</w:t>
      </w:r>
      <w:r>
        <w:rPr>
          <w:rFonts w:ascii="宋体"/>
          <w:color w:val="auto"/>
        </w:rPr>
        <w:t>：</w:t>
      </w:r>
      <w:r>
        <w:rPr>
          <w:rFonts w:hint="eastAsia" w:ascii="宋体"/>
          <w:color w:val="auto"/>
        </w:rPr>
        <w:t>重庆三峡银行</w:t>
      </w:r>
      <w:r>
        <w:rPr>
          <w:rFonts w:ascii="宋体"/>
          <w:color w:val="auto"/>
        </w:rPr>
        <w:t>第二代移动作业管理系统建设项目</w:t>
      </w:r>
    </w:p>
    <w:p w14:paraId="26B70B15">
      <w:pPr>
        <w:ind w:firstLine="420"/>
        <w:rPr>
          <w:rFonts w:ascii="宋体"/>
          <w:color w:val="auto"/>
        </w:rPr>
      </w:pPr>
      <w:bookmarkStart w:id="935" w:name="_Toc58337494"/>
      <w:r>
        <w:rPr>
          <w:rFonts w:hint="eastAsia" w:ascii="宋体"/>
          <w:color w:val="auto"/>
        </w:rPr>
        <w:t>2.2项目内容</w:t>
      </w:r>
      <w:r>
        <w:rPr>
          <w:rFonts w:ascii="宋体"/>
          <w:color w:val="auto"/>
        </w:rPr>
        <w:t>、</w:t>
      </w:r>
      <w:r>
        <w:rPr>
          <w:rFonts w:hint="eastAsia" w:ascii="宋体"/>
          <w:color w:val="auto"/>
        </w:rPr>
        <w:t>范围及要求</w:t>
      </w:r>
      <w:bookmarkEnd w:id="935"/>
    </w:p>
    <w:p w14:paraId="5730FB8B">
      <w:pPr>
        <w:snapToGrid w:val="0"/>
        <w:ind w:firstLine="420"/>
        <w:rPr>
          <w:rFonts w:ascii="宋体"/>
          <w:color w:val="auto"/>
        </w:rPr>
      </w:pPr>
      <w:r>
        <w:rPr>
          <w:rFonts w:hint="eastAsia" w:ascii="宋体"/>
          <w:color w:val="auto"/>
        </w:rPr>
        <w:t>建设第二代移动作业平台，以移动柜面对公、对私业务，数智厅堂，移动信贷建设为主体内容，实现集平板、手机端、小程序和PC网页多渠道协同的移动作业管理系统。</w:t>
      </w:r>
    </w:p>
    <w:p w14:paraId="0D2EF850">
      <w:pPr>
        <w:snapToGrid w:val="0"/>
        <w:ind w:firstLine="420"/>
        <w:rPr>
          <w:rFonts w:ascii="宋体"/>
          <w:i/>
          <w:color w:val="auto"/>
        </w:rPr>
      </w:pPr>
      <w:r>
        <w:rPr>
          <w:rFonts w:hint="eastAsia" w:ascii="宋体"/>
          <w:color w:val="auto"/>
        </w:rPr>
        <w:t>详细内容参考附件一《工作（需求）说明书》，最终以附件一中双方约定的内容为准。</w:t>
      </w:r>
    </w:p>
    <w:p w14:paraId="5DF8CF5B">
      <w:pPr>
        <w:snapToGrid w:val="0"/>
        <w:ind w:firstLine="420"/>
        <w:rPr>
          <w:rFonts w:ascii="宋体"/>
          <w:color w:val="auto"/>
        </w:rPr>
      </w:pPr>
      <w:bookmarkStart w:id="936" w:name="_Toc58337495"/>
      <w:r>
        <w:rPr>
          <w:rFonts w:hint="eastAsia" w:ascii="宋体"/>
          <w:color w:val="auto"/>
        </w:rPr>
        <w:t>2.3技术指标和质量要求</w:t>
      </w:r>
      <w:bookmarkEnd w:id="936"/>
      <w:r>
        <w:rPr>
          <w:rFonts w:hint="eastAsia" w:ascii="宋体"/>
          <w:color w:val="auto"/>
        </w:rPr>
        <w:t>。</w:t>
      </w:r>
    </w:p>
    <w:p w14:paraId="2D37BC0A">
      <w:pPr>
        <w:snapToGrid w:val="0"/>
        <w:ind w:firstLine="420"/>
        <w:rPr>
          <w:rFonts w:ascii="宋体"/>
          <w:color w:val="auto"/>
        </w:rPr>
      </w:pPr>
      <w:r>
        <w:rPr>
          <w:rFonts w:hint="eastAsia" w:ascii="宋体"/>
          <w:color w:val="auto"/>
        </w:rPr>
        <w:t>见附件一、附件四。</w:t>
      </w:r>
    </w:p>
    <w:p w14:paraId="4E358746">
      <w:pPr>
        <w:snapToGrid w:val="0"/>
        <w:ind w:firstLine="420"/>
        <w:rPr>
          <w:rFonts w:ascii="宋体"/>
          <w:color w:val="auto"/>
        </w:rPr>
      </w:pPr>
      <w:bookmarkStart w:id="937" w:name="_Toc58337496"/>
      <w:r>
        <w:rPr>
          <w:rFonts w:hint="eastAsia" w:ascii="宋体"/>
          <w:color w:val="auto"/>
        </w:rPr>
        <w:t>2.4应当遵循的标准和规范</w:t>
      </w:r>
      <w:bookmarkEnd w:id="937"/>
      <w:r>
        <w:rPr>
          <w:rFonts w:hint="eastAsia" w:ascii="宋体"/>
          <w:color w:val="auto"/>
        </w:rPr>
        <w:t>。</w:t>
      </w:r>
    </w:p>
    <w:p w14:paraId="769378BF">
      <w:pPr>
        <w:snapToGrid w:val="0"/>
        <w:ind w:firstLine="420" w:firstLineChars="0"/>
        <w:rPr>
          <w:rFonts w:ascii="宋体"/>
          <w:color w:val="auto"/>
        </w:rPr>
      </w:pPr>
      <w:r>
        <w:rPr>
          <w:rFonts w:hint="eastAsia" w:ascii="宋体"/>
          <w:color w:val="auto"/>
        </w:rPr>
        <w:t>乙方交付的</w:t>
      </w:r>
      <w:r>
        <w:rPr>
          <w:rFonts w:ascii="宋体"/>
          <w:color w:val="auto"/>
        </w:rPr>
        <w:t>移动作业管理系统产品</w:t>
      </w:r>
      <w:r>
        <w:rPr>
          <w:rFonts w:hint="eastAsia" w:ascii="宋体"/>
          <w:color w:val="auto"/>
        </w:rPr>
        <w:t>应当满足国家相关法律法规、监管政策和行业标准，需满足甲方各类内部管理要求，包括信息安全管理相关要求、客户信息保护相关要求、数据标准相关要求，涉及银联卡支付的需满足《银联卡支付信息安全管理标准》。</w:t>
      </w:r>
    </w:p>
    <w:p w14:paraId="128C1BF2">
      <w:pPr>
        <w:snapToGrid w:val="0"/>
        <w:ind w:firstLine="420" w:firstLineChars="0"/>
        <w:rPr>
          <w:rFonts w:ascii="宋体"/>
          <w:color w:val="auto"/>
        </w:rPr>
      </w:pPr>
    </w:p>
    <w:p w14:paraId="2418BD67">
      <w:pPr>
        <w:ind w:firstLine="413" w:firstLineChars="196"/>
        <w:rPr>
          <w:rFonts w:ascii="宋体"/>
          <w:b/>
          <w:color w:val="auto"/>
        </w:rPr>
      </w:pPr>
      <w:bookmarkStart w:id="938" w:name="_Toc84948027"/>
      <w:r>
        <w:rPr>
          <w:rFonts w:hint="eastAsia" w:ascii="宋体"/>
          <w:b/>
          <w:color w:val="auto"/>
        </w:rPr>
        <w:t>第三条 项目履行的进度、期限、地点、地域、方式</w:t>
      </w:r>
      <w:bookmarkEnd w:id="938"/>
    </w:p>
    <w:p w14:paraId="6426CB84">
      <w:pPr>
        <w:ind w:firstLine="420"/>
        <w:rPr>
          <w:rFonts w:ascii="宋体"/>
          <w:color w:val="auto"/>
        </w:rPr>
      </w:pPr>
      <w:r>
        <w:rPr>
          <w:rFonts w:hint="eastAsia" w:ascii="宋体"/>
          <w:color w:val="auto"/>
        </w:rPr>
        <w:t>3.1乙方必须投入足够的具有本项目实施能力的技术人员以保证本项目按期完成，乙方项目组主要成员及人员应急退出机制见附件二《项目人员名单及人员应急退出机制》，未经甲方事先同意，附件二中人员不得变更；如遇特殊情况需变更的，</w:t>
      </w:r>
      <w:r>
        <w:rPr>
          <w:rFonts w:hint="eastAsia" w:ascii="宋体"/>
          <w:color w:val="auto"/>
          <w:kern w:val="0"/>
        </w:rPr>
        <w:t>替换人员技术水平或级别需不低于</w:t>
      </w:r>
      <w:r>
        <w:rPr>
          <w:rFonts w:hint="eastAsia" w:ascii="宋体"/>
          <w:color w:val="auto"/>
        </w:rPr>
        <w:t>被替换的人员</w:t>
      </w:r>
      <w:r>
        <w:rPr>
          <w:rFonts w:hint="eastAsia" w:ascii="宋体"/>
          <w:color w:val="auto"/>
          <w:kern w:val="0"/>
        </w:rPr>
        <w:t>水平或级别</w:t>
      </w:r>
      <w:r>
        <w:rPr>
          <w:rFonts w:hint="eastAsia" w:ascii="宋体"/>
          <w:color w:val="auto"/>
        </w:rPr>
        <w:t>，并需通过甲方考察并取得甲方同意，否则甲方有权要求更换。</w:t>
      </w:r>
    </w:p>
    <w:p w14:paraId="3F5A8283">
      <w:pPr>
        <w:ind w:firstLine="420"/>
        <w:rPr>
          <w:rFonts w:ascii="宋体"/>
          <w:color w:val="auto"/>
        </w:rPr>
      </w:pPr>
      <w:r>
        <w:rPr>
          <w:rFonts w:hint="eastAsia" w:ascii="宋体"/>
          <w:color w:val="auto"/>
        </w:rPr>
        <w:t>3.2进度：乙方应严格按照3.3所列示的期限完成项目实施任务。</w:t>
      </w:r>
    </w:p>
    <w:p w14:paraId="0E4DA33A">
      <w:pPr>
        <w:ind w:firstLine="420"/>
        <w:rPr>
          <w:rFonts w:ascii="宋体"/>
          <w:color w:val="auto"/>
        </w:rPr>
      </w:pPr>
      <w:r>
        <w:rPr>
          <w:rFonts w:hint="eastAsia" w:ascii="宋体"/>
          <w:color w:val="auto"/>
        </w:rPr>
        <w:t>3.3期限：上线时间为    年    月     日</w:t>
      </w:r>
      <w:r>
        <w:rPr>
          <w:rFonts w:ascii="宋体"/>
          <w:color w:val="auto"/>
        </w:rPr>
        <w:t>前</w:t>
      </w:r>
      <w:r>
        <w:rPr>
          <w:rFonts w:hint="eastAsia" w:ascii="宋体"/>
          <w:color w:val="auto"/>
        </w:rPr>
        <w:t>。</w:t>
      </w:r>
    </w:p>
    <w:p w14:paraId="537B8E0F">
      <w:pPr>
        <w:ind w:firstLine="420"/>
        <w:rPr>
          <w:rFonts w:ascii="宋体"/>
          <w:color w:val="auto"/>
        </w:rPr>
      </w:pPr>
      <w:r>
        <w:rPr>
          <w:rFonts w:hint="eastAsia" w:ascii="宋体"/>
          <w:color w:val="auto"/>
        </w:rPr>
        <w:t>3.4地点：乙方完成项目实施工作的地点为：</w:t>
      </w:r>
      <w:r>
        <w:rPr>
          <w:rFonts w:hint="eastAsia" w:ascii="宋体"/>
          <w:color w:val="auto"/>
          <w:u w:val="single"/>
        </w:rPr>
        <w:t>重庆</w:t>
      </w:r>
      <w:r>
        <w:rPr>
          <w:rFonts w:hint="eastAsia" w:ascii="宋体"/>
          <w:color w:val="auto"/>
        </w:rPr>
        <w:t>；【驻场】实施。</w:t>
      </w:r>
    </w:p>
    <w:p w14:paraId="4605B2CF">
      <w:pPr>
        <w:ind w:firstLine="420"/>
        <w:rPr>
          <w:rFonts w:ascii="宋体"/>
          <w:color w:val="auto"/>
        </w:rPr>
      </w:pPr>
      <w:r>
        <w:rPr>
          <w:rFonts w:hint="eastAsia" w:ascii="宋体"/>
          <w:color w:val="auto"/>
        </w:rPr>
        <w:t>3.5地域：本项目适用机构所在地域包括：</w:t>
      </w:r>
      <w:r>
        <w:rPr>
          <w:rFonts w:hint="eastAsia" w:ascii="宋体"/>
          <w:color w:val="auto"/>
          <w:u w:val="single"/>
        </w:rPr>
        <w:t>重庆三峡银行总行各部门及辖内各经营机构</w:t>
      </w:r>
      <w:r>
        <w:rPr>
          <w:rFonts w:hint="eastAsia" w:ascii="宋体"/>
          <w:color w:val="auto"/>
        </w:rPr>
        <w:t>。</w:t>
      </w:r>
    </w:p>
    <w:p w14:paraId="63A99579">
      <w:pPr>
        <w:ind w:firstLine="420"/>
        <w:rPr>
          <w:rFonts w:ascii="宋体"/>
          <w:color w:val="auto"/>
        </w:rPr>
      </w:pPr>
      <w:r>
        <w:rPr>
          <w:rFonts w:hint="eastAsia" w:ascii="宋体"/>
          <w:color w:val="auto"/>
        </w:rPr>
        <w:t>3.6方式：</w:t>
      </w:r>
    </w:p>
    <w:p w14:paraId="7BD840D5">
      <w:pPr>
        <w:ind w:firstLine="420"/>
        <w:rPr>
          <w:rFonts w:ascii="宋体"/>
          <w:color w:val="auto"/>
        </w:rPr>
      </w:pPr>
      <w:r>
        <w:rPr>
          <w:rFonts w:hint="eastAsia" w:ascii="宋体"/>
          <w:color w:val="auto"/>
        </w:rPr>
        <w:t>3.6.1协调：甲、乙双方各派出一名项目主要负责人负责本项目协调工作。其中，乙方代表负责提示完成本项目各阶段双方按照本合同应当履行的义务；经双方代表确认后分别与双方相关人员组织协调开展工作。</w:t>
      </w:r>
    </w:p>
    <w:p w14:paraId="323C3194">
      <w:pPr>
        <w:ind w:firstLine="420"/>
        <w:rPr>
          <w:rFonts w:ascii="宋体"/>
          <w:color w:val="auto"/>
        </w:rPr>
      </w:pPr>
      <w:r>
        <w:rPr>
          <w:rFonts w:hint="eastAsia" w:ascii="宋体"/>
          <w:color w:val="auto"/>
        </w:rPr>
        <w:t>3.6.2 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14:paraId="4A46BA88">
      <w:pPr>
        <w:ind w:firstLine="420"/>
        <w:rPr>
          <w:rFonts w:ascii="宋体"/>
          <w:color w:val="auto"/>
        </w:rPr>
      </w:pPr>
    </w:p>
    <w:p w14:paraId="166EBCFD">
      <w:pPr>
        <w:ind w:firstLine="413" w:firstLineChars="196"/>
        <w:rPr>
          <w:color w:val="auto"/>
        </w:rPr>
      </w:pPr>
      <w:bookmarkStart w:id="939" w:name="_Toc84948028"/>
      <w:r>
        <w:rPr>
          <w:rFonts w:hint="eastAsia" w:ascii="宋体"/>
          <w:b/>
          <w:color w:val="auto"/>
        </w:rPr>
        <w:t>第四条 方案调整</w:t>
      </w:r>
      <w:bookmarkEnd w:id="939"/>
    </w:p>
    <w:p w14:paraId="3154F7A0">
      <w:pPr>
        <w:ind w:firstLine="420"/>
        <w:rPr>
          <w:rFonts w:ascii="宋体"/>
          <w:color w:val="auto"/>
        </w:rPr>
      </w:pPr>
      <w:r>
        <w:rPr>
          <w:rStyle w:val="60"/>
          <w:rFonts w:hint="eastAsia" w:ascii="宋体"/>
          <w:color w:val="auto"/>
          <w:kern w:val="0"/>
        </w:rPr>
        <w:t>4.1因甲方原因提出导致增加【 】∕人∕月以上工作量的需求变更，</w:t>
      </w:r>
      <w:r>
        <w:rPr>
          <w:rFonts w:hint="eastAsia" w:ascii="宋体"/>
          <w:color w:val="auto"/>
        </w:rPr>
        <w:t>须通知乙方并由乙方确认</w:t>
      </w:r>
      <w:r>
        <w:rPr>
          <w:rStyle w:val="60"/>
          <w:rFonts w:hint="eastAsia" w:ascii="宋体"/>
          <w:color w:val="auto"/>
          <w:kern w:val="0"/>
        </w:rPr>
        <w:t>，对此</w:t>
      </w:r>
      <w:r>
        <w:rPr>
          <w:rFonts w:hint="eastAsia" w:ascii="宋体"/>
          <w:color w:val="auto"/>
        </w:rPr>
        <w:t>变更给乙方带来的额外劳动部分甲乙双方协商解决，由此变更导致项目进度延期不构成违约。但4.2款确认的，由乙方原因引起的工作量，甲方无需承担任何费用。</w:t>
      </w:r>
    </w:p>
    <w:p w14:paraId="23AC7411">
      <w:pPr>
        <w:ind w:firstLine="420"/>
        <w:rPr>
          <w:rFonts w:ascii="宋体"/>
          <w:color w:val="auto"/>
        </w:rPr>
      </w:pPr>
      <w:r>
        <w:rPr>
          <w:rFonts w:hint="eastAsia" w:ascii="宋体"/>
          <w:color w:val="auto"/>
        </w:rPr>
        <w:t>4.2 方案一经双方确认，任何一方有方案调整意见，均需与对方签字确认。</w:t>
      </w:r>
    </w:p>
    <w:p w14:paraId="29ED79D5">
      <w:pPr>
        <w:ind w:firstLine="420"/>
        <w:rPr>
          <w:rFonts w:ascii="宋体"/>
          <w:color w:val="auto"/>
        </w:rPr>
      </w:pPr>
    </w:p>
    <w:p w14:paraId="1667A910">
      <w:pPr>
        <w:ind w:firstLine="413" w:firstLineChars="196"/>
        <w:rPr>
          <w:rFonts w:ascii="宋体"/>
          <w:b/>
          <w:color w:val="auto"/>
        </w:rPr>
      </w:pPr>
      <w:bookmarkStart w:id="940" w:name="_Toc84948029"/>
      <w:r>
        <w:rPr>
          <w:rFonts w:hint="eastAsia" w:ascii="宋体"/>
          <w:b/>
          <w:color w:val="auto"/>
        </w:rPr>
        <w:t>第五条 验收</w:t>
      </w:r>
      <w:bookmarkEnd w:id="940"/>
    </w:p>
    <w:p w14:paraId="21CD85A2">
      <w:pPr>
        <w:pStyle w:val="11"/>
        <w:spacing w:before="0" w:beforeLines="0" w:line="360" w:lineRule="auto"/>
        <w:ind w:left="0" w:leftChars="0" w:firstLine="420"/>
        <w:rPr>
          <w:rFonts w:ascii="宋体"/>
          <w:color w:val="auto"/>
          <w:kern w:val="0"/>
        </w:rPr>
      </w:pPr>
      <w:r>
        <w:rPr>
          <w:rFonts w:hint="eastAsia" w:ascii="宋体"/>
          <w:color w:val="auto"/>
          <w:kern w:val="0"/>
        </w:rPr>
        <w:t>乙方负责的产品（即本合同2.2约定内容）在甲方生产环境正式安装部署（需遵循甲方系统上线相关的制度规范提交版本所需上线资料）完成后进入试运行期，乙方应根据试运行情况提交《项目上线试运行报告》；上线试运行期间，</w:t>
      </w:r>
      <w:r>
        <w:rPr>
          <w:rFonts w:hint="eastAsia" w:ascii="宋体"/>
          <w:bCs/>
          <w:color w:val="auto"/>
          <w:kern w:val="0"/>
        </w:rPr>
        <w:t>本合同中的系统出现的任何问题，乙方应及时解决，保证试运行期间的稳定运行；试运行期间若出现</w:t>
      </w:r>
      <w:r>
        <w:rPr>
          <w:rFonts w:hint="eastAsia" w:ascii="宋体" w:cs="宋体"/>
          <w:bCs/>
          <w:color w:val="auto"/>
          <w:kern w:val="0"/>
        </w:rPr>
        <w:t>较大运营中断事件（III级）及以上，乙方应予以立即解决，从出现中断事件至排除故障或解决问题期间的时间不计入试运行期，系统验收时间向后顺延。</w:t>
      </w:r>
      <w:r>
        <w:rPr>
          <w:rFonts w:hint="eastAsia" w:ascii="宋体"/>
          <w:color w:val="auto"/>
          <w:kern w:val="0"/>
        </w:rPr>
        <w:t>在符合甲方项目预期目标且试运行满</w:t>
      </w:r>
      <w:r>
        <w:rPr>
          <w:rFonts w:hint="eastAsia" w:ascii="宋体"/>
          <w:color w:val="auto"/>
          <w:kern w:val="0"/>
          <w:u w:val="single"/>
        </w:rPr>
        <w:t>三个月</w:t>
      </w:r>
      <w:r>
        <w:rPr>
          <w:rFonts w:hint="eastAsia" w:ascii="宋体"/>
          <w:color w:val="auto"/>
          <w:kern w:val="0"/>
        </w:rPr>
        <w:t>后，由甲方按照合同约定进行正式验收，验收通过后签署验收表或验收报告。</w:t>
      </w:r>
    </w:p>
    <w:p w14:paraId="648C61E1">
      <w:pPr>
        <w:pStyle w:val="11"/>
        <w:spacing w:before="0" w:beforeLines="0" w:line="360" w:lineRule="auto"/>
        <w:ind w:left="0" w:leftChars="0" w:firstLine="420"/>
        <w:rPr>
          <w:rFonts w:ascii="宋体"/>
          <w:color w:val="auto"/>
          <w:kern w:val="0"/>
        </w:rPr>
      </w:pPr>
      <w:r>
        <w:rPr>
          <w:rFonts w:hint="eastAsia" w:ascii="宋体"/>
          <w:color w:val="auto"/>
          <w:kern w:val="0"/>
        </w:rPr>
        <w:t>如果验收不合格，甲方有权另行指定正式验收的时间，在重新验收前乙方负责继续对项目进行修改和完善，并在甲方指定的期限内达到验收标准，其验收过程和方式不变。由此导致延误项目进度的，费用和责任由乙方承担，并按本合同第十五条之约定向甲方赔偿。再次验收仍不合格的，甲方有权解除本合同，不再支付任何费用。详细内容见附件三《验收标准及流程》。</w:t>
      </w:r>
    </w:p>
    <w:p w14:paraId="7893E042">
      <w:pPr>
        <w:pStyle w:val="11"/>
        <w:spacing w:before="0" w:beforeLines="0" w:line="360" w:lineRule="auto"/>
        <w:ind w:left="0" w:leftChars="0" w:firstLine="420"/>
        <w:rPr>
          <w:rStyle w:val="60"/>
          <w:rFonts w:ascii="宋体"/>
          <w:color w:val="auto"/>
          <w:kern w:val="0"/>
        </w:rPr>
      </w:pPr>
    </w:p>
    <w:p w14:paraId="5C0F36EA">
      <w:pPr>
        <w:ind w:firstLine="413" w:firstLineChars="196"/>
        <w:rPr>
          <w:rFonts w:ascii="宋体"/>
          <w:b/>
          <w:color w:val="auto"/>
        </w:rPr>
      </w:pPr>
      <w:bookmarkStart w:id="941" w:name="_Toc84948030"/>
      <w:r>
        <w:rPr>
          <w:rFonts w:hint="eastAsia" w:ascii="宋体"/>
          <w:b/>
          <w:color w:val="auto"/>
        </w:rPr>
        <w:t>第六条 交付使用后维护期、系统完善和保修维护服务</w:t>
      </w:r>
      <w:bookmarkEnd w:id="941"/>
    </w:p>
    <w:p w14:paraId="4EBAA16C">
      <w:pPr>
        <w:tabs>
          <w:tab w:val="left" w:pos="851"/>
        </w:tabs>
        <w:ind w:firstLine="420"/>
        <w:rPr>
          <w:rFonts w:ascii="宋体"/>
          <w:color w:val="auto"/>
        </w:rPr>
      </w:pPr>
      <w:r>
        <w:rPr>
          <w:rFonts w:hint="eastAsia" w:ascii="宋体"/>
          <w:color w:val="auto"/>
        </w:rPr>
        <w:t>6.1本合同金额包含【】年维护，维护期为自本产品</w:t>
      </w:r>
      <w:r>
        <w:rPr>
          <w:rFonts w:hint="eastAsia" w:ascii="宋体"/>
          <w:color w:val="auto"/>
          <w:kern w:val="0"/>
        </w:rPr>
        <w:t>正式</w:t>
      </w:r>
      <w:r>
        <w:rPr>
          <w:rFonts w:hint="eastAsia" w:ascii="宋体"/>
          <w:color w:val="auto"/>
        </w:rPr>
        <w:t>验收合格后次日至次年并延期至6月30日或12月31日中较近日期（即维保延期最长不超过半年）。</w:t>
      </w:r>
    </w:p>
    <w:p w14:paraId="68CF9415">
      <w:pPr>
        <w:tabs>
          <w:tab w:val="left" w:pos="851"/>
        </w:tabs>
        <w:ind w:firstLine="420"/>
        <w:rPr>
          <w:rFonts w:ascii="宋体"/>
          <w:color w:val="auto"/>
        </w:rPr>
      </w:pPr>
      <w:r>
        <w:rPr>
          <w:rFonts w:hint="eastAsia" w:ascii="宋体"/>
          <w:color w:val="auto"/>
        </w:rPr>
        <w:t>6.2本合同产品的有偿技术服务期为本合同</w:t>
      </w:r>
      <w:r>
        <w:rPr>
          <w:rFonts w:ascii="宋体"/>
          <w:color w:val="auto"/>
        </w:rPr>
        <w:t>第</w:t>
      </w:r>
      <w:r>
        <w:rPr>
          <w:rFonts w:hint="eastAsia" w:ascii="宋体"/>
          <w:color w:val="auto"/>
        </w:rPr>
        <w:t>6.1条</w:t>
      </w:r>
      <w:r>
        <w:rPr>
          <w:rFonts w:ascii="宋体"/>
          <w:color w:val="auto"/>
        </w:rPr>
        <w:t>约定的</w:t>
      </w:r>
      <w:r>
        <w:rPr>
          <w:rFonts w:hint="eastAsia" w:ascii="宋体"/>
          <w:color w:val="auto"/>
        </w:rPr>
        <w:t>维护期到期之日起</w:t>
      </w:r>
      <w:r>
        <w:rPr>
          <w:rFonts w:hint="eastAsia" w:ascii="宋体"/>
          <w:color w:val="auto"/>
          <w:u w:val="single"/>
        </w:rPr>
        <w:t>10</w:t>
      </w:r>
      <w:r>
        <w:rPr>
          <w:rFonts w:hint="eastAsia" w:ascii="宋体"/>
          <w:color w:val="auto"/>
        </w:rPr>
        <w:t>年。本项目产品服务期内（包括本合同</w:t>
      </w:r>
      <w:r>
        <w:rPr>
          <w:rFonts w:ascii="宋体"/>
          <w:color w:val="auto"/>
        </w:rPr>
        <w:t>第</w:t>
      </w:r>
      <w:r>
        <w:rPr>
          <w:rFonts w:hint="eastAsia" w:ascii="宋体"/>
          <w:color w:val="auto"/>
        </w:rPr>
        <w:t>6.1条</w:t>
      </w:r>
      <w:r>
        <w:rPr>
          <w:rFonts w:ascii="宋体"/>
          <w:color w:val="auto"/>
        </w:rPr>
        <w:t>约定的</w:t>
      </w:r>
      <w:r>
        <w:rPr>
          <w:rFonts w:hint="eastAsia" w:ascii="宋体"/>
          <w:color w:val="auto"/>
        </w:rPr>
        <w:t>维护期与有偿技术服务期）如甲方对照附件一发现项目存在技术缺陷和隐蔽瑕疵，乙方应负责予以解决并应承担相应法律责任。</w:t>
      </w:r>
    </w:p>
    <w:p w14:paraId="7E70E063">
      <w:pPr>
        <w:ind w:firstLine="420"/>
        <w:rPr>
          <w:rFonts w:ascii="宋体"/>
          <w:color w:val="auto"/>
        </w:rPr>
      </w:pPr>
      <w:r>
        <w:rPr>
          <w:rFonts w:hint="eastAsia" w:ascii="宋体"/>
          <w:color w:val="auto"/>
        </w:rPr>
        <w:t>6.3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14:paraId="4B5D3258">
      <w:pPr>
        <w:ind w:firstLine="420"/>
        <w:rPr>
          <w:rFonts w:ascii="宋体"/>
          <w:color w:val="auto"/>
        </w:rPr>
      </w:pPr>
      <w:r>
        <w:rPr>
          <w:rFonts w:hint="eastAsia" w:ascii="宋体"/>
          <w:color w:val="auto"/>
        </w:rPr>
        <w:t>6.4 维护服务期内（包括本合同</w:t>
      </w:r>
      <w:r>
        <w:rPr>
          <w:rFonts w:ascii="宋体"/>
          <w:color w:val="auto"/>
        </w:rPr>
        <w:t>第</w:t>
      </w:r>
      <w:r>
        <w:rPr>
          <w:rFonts w:hint="eastAsia" w:ascii="宋体"/>
          <w:color w:val="auto"/>
        </w:rPr>
        <w:t>6.1条</w:t>
      </w:r>
      <w:r>
        <w:rPr>
          <w:rFonts w:ascii="宋体"/>
          <w:color w:val="auto"/>
        </w:rPr>
        <w:t>约定的</w:t>
      </w:r>
      <w:r>
        <w:rPr>
          <w:rFonts w:hint="eastAsia" w:ascii="宋体"/>
          <w:color w:val="auto"/>
        </w:rPr>
        <w:t>维护期与有偿技术服务期）的服务内容和服务方式详见附件四《维护服务条款》。</w:t>
      </w:r>
    </w:p>
    <w:p w14:paraId="516147E3">
      <w:pPr>
        <w:ind w:firstLine="420"/>
        <w:rPr>
          <w:rFonts w:ascii="宋体"/>
          <w:color w:val="auto"/>
        </w:rPr>
      </w:pPr>
      <w:r>
        <w:rPr>
          <w:rFonts w:hint="eastAsia" w:ascii="宋体"/>
          <w:color w:val="auto"/>
        </w:rPr>
        <w:t>6.5上述服务，不包括由下列事件引起的故障：</w:t>
      </w:r>
    </w:p>
    <w:p w14:paraId="1C0FBB37">
      <w:pPr>
        <w:ind w:firstLine="420"/>
        <w:rPr>
          <w:rFonts w:ascii="宋体"/>
          <w:color w:val="auto"/>
        </w:rPr>
      </w:pPr>
      <w:r>
        <w:rPr>
          <w:rFonts w:hint="eastAsia" w:ascii="宋体"/>
          <w:color w:val="auto"/>
        </w:rPr>
        <w:t>6.5.1 未能为系统提供适当的外部环境-如必要的系统环境、必要的管理体系、未能按照乙方要求配备资源等。</w:t>
      </w:r>
    </w:p>
    <w:p w14:paraId="228DE81A">
      <w:pPr>
        <w:ind w:firstLine="420"/>
        <w:rPr>
          <w:rFonts w:ascii="宋体"/>
          <w:color w:val="auto"/>
        </w:rPr>
      </w:pPr>
      <w:r>
        <w:rPr>
          <w:rFonts w:hint="eastAsia" w:ascii="宋体"/>
          <w:color w:val="auto"/>
        </w:rPr>
        <w:t>6.5.2 使用并非由乙方提供的产品或服务。</w:t>
      </w:r>
    </w:p>
    <w:p w14:paraId="390DECFC">
      <w:pPr>
        <w:ind w:firstLine="420"/>
        <w:rPr>
          <w:rFonts w:ascii="宋体"/>
          <w:color w:val="auto"/>
        </w:rPr>
      </w:pPr>
      <w:r>
        <w:rPr>
          <w:rFonts w:hint="eastAsia" w:ascii="宋体"/>
          <w:color w:val="auto"/>
        </w:rPr>
        <w:t>6.6在本合同第6.1条约定的维护期内，如甲方发现交付的项目、产品与双方最终签字确认的需求不符，尽管已经验收，但乙方仍具有立即纠正不符之处的责任。如乙方在收到甲方不符通知后</w:t>
      </w:r>
      <w:r>
        <w:rPr>
          <w:rFonts w:hint="eastAsia" w:ascii="宋体"/>
          <w:color w:val="auto"/>
          <w:u w:val="single"/>
        </w:rPr>
        <w:t xml:space="preserve"> 3 </w:t>
      </w:r>
      <w:r>
        <w:rPr>
          <w:rFonts w:hint="eastAsia" w:ascii="宋体"/>
          <w:color w:val="auto"/>
        </w:rPr>
        <w:t>日内不到甲方现场进行检修，或在收到甲方通知后</w:t>
      </w:r>
      <w:r>
        <w:rPr>
          <w:rFonts w:hint="eastAsia" w:ascii="宋体"/>
          <w:color w:val="auto"/>
          <w:u w:val="single"/>
        </w:rPr>
        <w:t xml:space="preserve"> 10 </w:t>
      </w:r>
      <w:r>
        <w:rPr>
          <w:rFonts w:hint="eastAsia" w:ascii="宋体"/>
          <w:color w:val="auto"/>
        </w:rPr>
        <w:t>日内仍不能纠正不符之处的，甲方有权采取其他措施（包括聘请第三方替代履行）以减少损失，由此产生的费用及相关损失由乙方负责。乙方承</w:t>
      </w:r>
    </w:p>
    <w:p w14:paraId="66495A95">
      <w:pPr>
        <w:ind w:firstLine="420"/>
        <w:rPr>
          <w:rFonts w:ascii="宋体"/>
          <w:color w:val="auto"/>
        </w:rPr>
      </w:pPr>
      <w:r>
        <w:rPr>
          <w:rFonts w:hint="eastAsia" w:ascii="宋体"/>
          <w:color w:val="auto"/>
        </w:rPr>
        <w:t>诺，甲方采取上述措施不必征得乙方事先同意，且不构成对乙方的任何侵权。</w:t>
      </w:r>
    </w:p>
    <w:p w14:paraId="2724FA92">
      <w:pPr>
        <w:ind w:firstLine="420"/>
        <w:rPr>
          <w:rFonts w:ascii="宋体"/>
          <w:color w:val="auto"/>
        </w:rPr>
      </w:pPr>
      <w:r>
        <w:rPr>
          <w:rFonts w:hint="eastAsia" w:ascii="宋体"/>
          <w:color w:val="auto"/>
        </w:rPr>
        <w:t>6</w:t>
      </w:r>
      <w:r>
        <w:rPr>
          <w:rStyle w:val="60"/>
          <w:rFonts w:hint="eastAsia" w:ascii="宋体"/>
          <w:color w:val="auto"/>
          <w:kern w:val="0"/>
        </w:rPr>
        <w:t xml:space="preserve">.7 </w:t>
      </w:r>
      <w:r>
        <w:rPr>
          <w:rFonts w:hint="eastAsia" w:ascii="宋体"/>
          <w:color w:val="auto"/>
        </w:rPr>
        <w:t>本合同</w:t>
      </w:r>
      <w:r>
        <w:rPr>
          <w:rFonts w:ascii="宋体"/>
          <w:color w:val="auto"/>
        </w:rPr>
        <w:t>第</w:t>
      </w:r>
      <w:r>
        <w:rPr>
          <w:rFonts w:hint="eastAsia" w:ascii="宋体"/>
          <w:color w:val="auto"/>
        </w:rPr>
        <w:t>6.1条</w:t>
      </w:r>
      <w:r>
        <w:rPr>
          <w:rFonts w:ascii="宋体"/>
          <w:color w:val="auto"/>
        </w:rPr>
        <w:t>约定的</w:t>
      </w:r>
      <w:r>
        <w:rPr>
          <w:rFonts w:hint="eastAsia" w:ascii="宋体"/>
          <w:color w:val="auto"/>
        </w:rPr>
        <w:t>维护期结束后的</w:t>
      </w:r>
      <w:r>
        <w:rPr>
          <w:rFonts w:hint="eastAsia" w:ascii="宋体"/>
          <w:color w:val="auto"/>
          <w:u w:val="single"/>
        </w:rPr>
        <w:t>10年</w:t>
      </w:r>
      <w:r>
        <w:rPr>
          <w:rFonts w:hint="eastAsia" w:ascii="宋体"/>
          <w:color w:val="auto"/>
        </w:rPr>
        <w:t>有偿技术服务期内，</w:t>
      </w:r>
      <w:r>
        <w:rPr>
          <w:rStyle w:val="60"/>
          <w:rFonts w:hint="eastAsia" w:ascii="宋体"/>
          <w:color w:val="auto"/>
          <w:kern w:val="0"/>
        </w:rPr>
        <w:t>如</w:t>
      </w:r>
      <w:r>
        <w:rPr>
          <w:rFonts w:hint="eastAsia" w:ascii="宋体"/>
          <w:color w:val="auto"/>
        </w:rPr>
        <w:t>甲方需要乙方提供维护服务,乙方应予提供。双方确认，甲方有权选择是否购买维护，乙方无权要求甲方对未使用维护服务的期间支付费用。</w:t>
      </w:r>
    </w:p>
    <w:p w14:paraId="50AD70DB">
      <w:pPr>
        <w:ind w:firstLine="420"/>
        <w:rPr>
          <w:rFonts w:ascii="宋体"/>
          <w:b/>
          <w:color w:val="auto"/>
        </w:rPr>
      </w:pPr>
      <w:r>
        <w:rPr>
          <w:rFonts w:hint="eastAsia" w:ascii="宋体"/>
          <w:color w:val="auto"/>
        </w:rPr>
        <w:t>6.8 维护期结束后</w:t>
      </w:r>
      <w:r>
        <w:rPr>
          <w:rStyle w:val="60"/>
          <w:rFonts w:hint="eastAsia" w:ascii="宋体"/>
          <w:color w:val="auto"/>
          <w:kern w:val="0"/>
        </w:rPr>
        <w:t>有偿技术服务期</w:t>
      </w:r>
      <w:r>
        <w:rPr>
          <w:rFonts w:hint="eastAsia" w:ascii="宋体"/>
          <w:color w:val="auto"/>
        </w:rPr>
        <w:t>每年的维护价格【不超过/为】</w:t>
      </w:r>
      <w:r>
        <w:rPr>
          <w:rFonts w:hint="eastAsia" w:ascii="宋体"/>
          <w:iCs/>
          <w:color w:val="auto"/>
          <w:u w:val="single"/>
        </w:rPr>
        <w:t>合同总额的【8%】</w:t>
      </w:r>
      <w:r>
        <w:rPr>
          <w:rFonts w:hint="eastAsia" w:ascii="宋体"/>
          <w:color w:val="auto"/>
        </w:rPr>
        <w:t>，具体服务内容详见附件四《维护服务条款》。有偿技术服务期的服务水平不低于附件四承诺的维护期的服务水平。</w:t>
      </w:r>
      <w:r>
        <w:rPr>
          <w:rFonts w:hint="eastAsia" w:ascii="宋体"/>
          <w:b/>
          <w:color w:val="auto"/>
        </w:rPr>
        <w:t>后续改造类项目维护费用以系统首期建设合同（即本合同）约定为准，不得叠加、单独收取。</w:t>
      </w:r>
    </w:p>
    <w:p w14:paraId="28CF55C8">
      <w:pPr>
        <w:ind w:firstLine="422"/>
        <w:rPr>
          <w:rFonts w:ascii="宋体"/>
          <w:b/>
          <w:color w:val="auto"/>
        </w:rPr>
      </w:pPr>
      <w:r>
        <w:rPr>
          <w:rFonts w:hint="eastAsia" w:ascii="宋体"/>
          <w:b/>
          <w:color w:val="auto"/>
        </w:rPr>
        <w:t>本合同为改造类项目合同，后续维保费用以系统首期建设合同（可注明首期建设合同名称及编号）约定为准，不得叠加、单独收取。</w:t>
      </w:r>
    </w:p>
    <w:p w14:paraId="351A936D">
      <w:pPr>
        <w:ind w:firstLine="420"/>
        <w:rPr>
          <w:rFonts w:ascii="宋体"/>
          <w:color w:val="auto"/>
        </w:rPr>
      </w:pPr>
      <w:r>
        <w:rPr>
          <w:rFonts w:hint="eastAsia" w:ascii="宋体"/>
          <w:color w:val="auto"/>
        </w:rPr>
        <w:t>6.9本合同并非维护期结束后的维护服务合同，有偿技术服务的合同由双方另行签订。</w:t>
      </w:r>
    </w:p>
    <w:p w14:paraId="57969829">
      <w:pPr>
        <w:ind w:firstLine="420"/>
        <w:rPr>
          <w:rFonts w:ascii="宋体"/>
          <w:color w:val="auto"/>
        </w:rPr>
      </w:pPr>
    </w:p>
    <w:p w14:paraId="47583562">
      <w:pPr>
        <w:ind w:firstLine="413" w:firstLineChars="196"/>
        <w:rPr>
          <w:rFonts w:ascii="宋体"/>
          <w:b/>
          <w:color w:val="auto"/>
        </w:rPr>
      </w:pPr>
      <w:bookmarkStart w:id="942" w:name="_Toc84948031"/>
      <w:r>
        <w:rPr>
          <w:rFonts w:hint="eastAsia" w:ascii="宋体"/>
          <w:b/>
          <w:color w:val="auto"/>
        </w:rPr>
        <w:t>第七条 技术辅导与培训</w:t>
      </w:r>
      <w:bookmarkEnd w:id="942"/>
    </w:p>
    <w:p w14:paraId="1E04DE4D">
      <w:pPr>
        <w:pStyle w:val="13"/>
        <w:spacing w:before="0" w:beforeLines="0" w:line="360" w:lineRule="auto"/>
        <w:ind w:firstLine="560" w:firstLineChars="0"/>
        <w:rPr>
          <w:rFonts w:ascii="宋体"/>
          <w:color w:val="auto"/>
        </w:rPr>
      </w:pPr>
      <w:r>
        <w:rPr>
          <w:rFonts w:hint="eastAsia" w:ascii="宋体"/>
          <w:color w:val="auto"/>
        </w:rPr>
        <w:t>乙方应负责向甲方提供技术辅导与培训，以使甲方人员熟练掌握该项目产品的应用和日常维护。培训内容包括：所有与系统以及项目相关的内容，如系统产品的技术及应用架构、系统产品的功能、配置方法、接口设计、日常运维、用户操作实务、用户常见问题解决等内容。</w:t>
      </w:r>
    </w:p>
    <w:p w14:paraId="3BD0E074">
      <w:pPr>
        <w:pStyle w:val="13"/>
        <w:spacing w:before="0" w:beforeLines="0" w:line="360" w:lineRule="auto"/>
        <w:ind w:firstLine="420"/>
        <w:rPr>
          <w:rFonts w:ascii="宋体"/>
          <w:color w:val="auto"/>
        </w:rPr>
      </w:pPr>
      <w:r>
        <w:rPr>
          <w:rFonts w:hint="eastAsia" w:ascii="宋体"/>
          <w:color w:val="auto"/>
        </w:rPr>
        <w:t>具体培训内容由双方共同商定，并由甲方项目经理签字确认。</w:t>
      </w:r>
    </w:p>
    <w:p w14:paraId="573F899F">
      <w:pPr>
        <w:pStyle w:val="13"/>
        <w:spacing w:before="0" w:beforeLines="0" w:line="360" w:lineRule="auto"/>
        <w:ind w:firstLine="420"/>
        <w:rPr>
          <w:rFonts w:ascii="宋体"/>
          <w:color w:val="auto"/>
        </w:rPr>
      </w:pPr>
    </w:p>
    <w:p w14:paraId="3B8F7D8A">
      <w:pPr>
        <w:ind w:firstLine="413" w:firstLineChars="196"/>
        <w:rPr>
          <w:rFonts w:ascii="宋体"/>
          <w:b/>
          <w:color w:val="auto"/>
        </w:rPr>
      </w:pPr>
      <w:bookmarkStart w:id="943" w:name="_Toc84948032"/>
      <w:r>
        <w:rPr>
          <w:rFonts w:hint="eastAsia" w:ascii="宋体"/>
          <w:b/>
          <w:color w:val="auto"/>
        </w:rPr>
        <w:t>第八条 双方的权利、义务</w:t>
      </w:r>
      <w:bookmarkEnd w:id="943"/>
    </w:p>
    <w:p w14:paraId="0ACFFCBD">
      <w:pPr>
        <w:ind w:firstLine="420"/>
        <w:rPr>
          <w:rFonts w:ascii="宋体"/>
          <w:color w:val="auto"/>
        </w:rPr>
      </w:pPr>
      <w:r>
        <w:rPr>
          <w:rFonts w:hint="eastAsia" w:ascii="宋体"/>
          <w:color w:val="auto"/>
        </w:rPr>
        <w:t>8.1除本合同其他条款外，甲方应承担如下义务：</w:t>
      </w:r>
    </w:p>
    <w:p w14:paraId="681F9DD3">
      <w:pPr>
        <w:ind w:firstLine="420"/>
        <w:rPr>
          <w:rFonts w:ascii="宋体"/>
          <w:color w:val="auto"/>
        </w:rPr>
      </w:pPr>
      <w:r>
        <w:rPr>
          <w:rFonts w:hint="eastAsia" w:ascii="宋体"/>
          <w:color w:val="auto"/>
        </w:rPr>
        <w:t>8.1.1 按照本合同第十三条的规定向乙方支付报酬。</w:t>
      </w:r>
    </w:p>
    <w:p w14:paraId="1FF68637">
      <w:pPr>
        <w:ind w:firstLine="420"/>
        <w:rPr>
          <w:rFonts w:ascii="宋体"/>
          <w:color w:val="auto"/>
        </w:rPr>
      </w:pPr>
      <w:r>
        <w:rPr>
          <w:rFonts w:hint="eastAsia" w:ascii="宋体"/>
          <w:color w:val="auto"/>
        </w:rPr>
        <w:t>8.1.2 向乙方提供本合同约定的业务协作：如参与各方的资源协调与进度管理、商务保障、项目环境保障等，确保参与各方按期、按质协同工作。</w:t>
      </w:r>
    </w:p>
    <w:p w14:paraId="4F87A84C">
      <w:pPr>
        <w:ind w:firstLine="420"/>
        <w:rPr>
          <w:rFonts w:ascii="宋体"/>
          <w:color w:val="auto"/>
        </w:rPr>
      </w:pPr>
      <w:r>
        <w:rPr>
          <w:rFonts w:hint="eastAsia" w:ascii="宋体"/>
          <w:color w:val="auto"/>
        </w:rPr>
        <w:t>8.1.3 指派一名项目主要负责人参加甲、乙双方为本项目召开的会议并协调相关工作和签署有关文件。</w:t>
      </w:r>
    </w:p>
    <w:p w14:paraId="22504DEB">
      <w:pPr>
        <w:ind w:firstLine="420"/>
        <w:rPr>
          <w:rFonts w:ascii="宋体"/>
          <w:color w:val="auto"/>
        </w:rPr>
      </w:pPr>
      <w:r>
        <w:rPr>
          <w:rFonts w:hint="eastAsia" w:ascii="宋体"/>
          <w:color w:val="auto"/>
        </w:rPr>
        <w:t>8.1.4 甲方为乙方解决现场人员正常开展工作的开发测试系统环境和场地。</w:t>
      </w:r>
    </w:p>
    <w:p w14:paraId="7DC9EFD5">
      <w:pPr>
        <w:ind w:firstLine="420"/>
        <w:rPr>
          <w:rFonts w:ascii="宋体"/>
          <w:color w:val="auto"/>
        </w:rPr>
      </w:pPr>
      <w:r>
        <w:rPr>
          <w:rFonts w:hint="eastAsia" w:ascii="宋体"/>
          <w:color w:val="auto"/>
        </w:rPr>
        <w:t>8.2除本合同其他条款外，乙方应承担如下义务：</w:t>
      </w:r>
    </w:p>
    <w:p w14:paraId="4702B8D0">
      <w:pPr>
        <w:pStyle w:val="12"/>
        <w:tabs>
          <w:tab w:val="left" w:pos="0"/>
        </w:tabs>
        <w:ind w:left="-2" w:leftChars="-1" w:firstLine="480"/>
        <w:jc w:val="left"/>
        <w:rPr>
          <w:color w:val="auto"/>
          <w:sz w:val="24"/>
          <w:szCs w:val="20"/>
        </w:rPr>
      </w:pPr>
      <w:r>
        <w:rPr>
          <w:color w:val="auto"/>
          <w:sz w:val="24"/>
          <w:szCs w:val="20"/>
        </w:rPr>
        <w:t>8.2.1 遵守法律法规及银行业金融机构内部管理制度</w:t>
      </w:r>
      <w:r>
        <w:rPr>
          <w:rFonts w:hint="eastAsia"/>
          <w:color w:val="auto"/>
          <w:sz w:val="24"/>
          <w:szCs w:val="20"/>
        </w:rPr>
        <w:t>及规定</w:t>
      </w:r>
      <w:r>
        <w:rPr>
          <w:color w:val="auto"/>
          <w:sz w:val="24"/>
          <w:szCs w:val="20"/>
        </w:rPr>
        <w:t>，贯彻执行相关监管政策。</w:t>
      </w:r>
    </w:p>
    <w:p w14:paraId="4E78D5E8">
      <w:pPr>
        <w:ind w:firstLine="420"/>
        <w:rPr>
          <w:rFonts w:ascii="宋体"/>
          <w:color w:val="auto"/>
        </w:rPr>
      </w:pPr>
      <w:r>
        <w:rPr>
          <w:rFonts w:hint="eastAsia" w:ascii="宋体"/>
          <w:color w:val="auto"/>
        </w:rPr>
        <w:t>8.2.2 按照本合同附件一的要求，采取一切必要的措施完成实施任务，保证项目的功能满足本项目需求，并确保在实施过程中严格执行版本过程化管理，配合甲方《软件研发项目实施细则》提供交付物。</w:t>
      </w:r>
    </w:p>
    <w:p w14:paraId="0CB31707">
      <w:pPr>
        <w:ind w:firstLine="420"/>
        <w:rPr>
          <w:rFonts w:ascii="宋体"/>
          <w:color w:val="auto"/>
        </w:rPr>
      </w:pPr>
      <w:r>
        <w:rPr>
          <w:rFonts w:hint="eastAsia" w:ascii="宋体"/>
          <w:color w:val="auto"/>
        </w:rPr>
        <w:t>8.2.3 负责在甲方的环境内安装并调试实施项目。</w:t>
      </w:r>
    </w:p>
    <w:p w14:paraId="4D8710AE">
      <w:pPr>
        <w:ind w:firstLine="420"/>
        <w:rPr>
          <w:rFonts w:ascii="宋体"/>
          <w:color w:val="auto"/>
        </w:rPr>
      </w:pPr>
      <w:r>
        <w:rPr>
          <w:rFonts w:hint="eastAsia" w:ascii="宋体"/>
          <w:color w:val="auto"/>
        </w:rPr>
        <w:t>8.2.4 指派一名项目主要负责人参加甲、乙双方为本项目召开的会议并协调相关工作和签署有关文件。</w:t>
      </w:r>
    </w:p>
    <w:p w14:paraId="5197B256">
      <w:pPr>
        <w:ind w:firstLine="420"/>
        <w:rPr>
          <w:rFonts w:ascii="宋体"/>
          <w:color w:val="auto"/>
        </w:rPr>
      </w:pPr>
      <w:r>
        <w:rPr>
          <w:rFonts w:hint="eastAsia" w:ascii="宋体"/>
          <w:color w:val="auto"/>
        </w:rPr>
        <w:t>8.2.5指派独立于开发团队的测试人员负责项目系统测试，并承诺按照甲方质量管理要求完成项目系统测试、性能测试、安全测试等。</w:t>
      </w:r>
    </w:p>
    <w:p w14:paraId="43A15FE3">
      <w:pPr>
        <w:ind w:firstLine="420"/>
        <w:rPr>
          <w:rFonts w:ascii="宋体"/>
          <w:color w:val="auto"/>
        </w:rPr>
      </w:pPr>
      <w:r>
        <w:rPr>
          <w:rFonts w:hint="eastAsia" w:ascii="宋体"/>
          <w:color w:val="auto"/>
        </w:rPr>
        <w:t>8.2.6 按照本合同的约定向甲方提供相关技术资料并提供技术指导。</w:t>
      </w:r>
    </w:p>
    <w:p w14:paraId="20E86EB8">
      <w:pPr>
        <w:ind w:firstLine="420"/>
        <w:rPr>
          <w:rFonts w:ascii="宋体"/>
          <w:color w:val="auto"/>
        </w:rPr>
      </w:pPr>
      <w:r>
        <w:rPr>
          <w:rFonts w:hint="eastAsia" w:ascii="宋体"/>
          <w:color w:val="auto"/>
        </w:rPr>
        <w:t>8.2.7乙方需为甲方提供持续的项目风险识别和控制措施，并按甲方要求提供公司财务分析报告、项目进度报告以及重大事项报告等。</w:t>
      </w:r>
    </w:p>
    <w:p w14:paraId="0FEC47DD">
      <w:pPr>
        <w:ind w:firstLine="420"/>
        <w:rPr>
          <w:rFonts w:ascii="宋体"/>
          <w:color w:val="auto"/>
        </w:rPr>
      </w:pPr>
      <w:r>
        <w:rPr>
          <w:rFonts w:hint="eastAsia" w:ascii="宋体"/>
          <w:color w:val="auto"/>
        </w:rPr>
        <w:t>8.2.8 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14:paraId="768D938B">
      <w:pPr>
        <w:ind w:firstLine="420"/>
        <w:rPr>
          <w:rFonts w:ascii="宋体"/>
          <w:color w:val="auto"/>
        </w:rPr>
      </w:pPr>
      <w:r>
        <w:rPr>
          <w:rFonts w:hint="eastAsia" w:ascii="宋体"/>
          <w:color w:val="auto"/>
        </w:rPr>
        <w:t>8.2</w:t>
      </w:r>
      <w:r>
        <w:rPr>
          <w:rFonts w:ascii="宋体"/>
          <w:color w:val="auto"/>
        </w:rPr>
        <w:t>.</w:t>
      </w:r>
      <w:r>
        <w:rPr>
          <w:rFonts w:hint="eastAsia" w:ascii="宋体"/>
          <w:color w:val="auto"/>
        </w:rPr>
        <w:t>9</w:t>
      </w:r>
      <w:r>
        <w:rPr>
          <w:rFonts w:ascii="宋体"/>
          <w:color w:val="auto"/>
        </w:rPr>
        <w:t xml:space="preserve"> 乙方应针对服务内容为甲方制定业务连续性计划和应急计划并维护好相关资源</w:t>
      </w:r>
      <w:r>
        <w:rPr>
          <w:rFonts w:hint="eastAsia" w:ascii="宋体"/>
          <w:color w:val="auto"/>
        </w:rPr>
        <w:t>，</w:t>
      </w:r>
      <w:r>
        <w:rPr>
          <w:rFonts w:ascii="宋体"/>
          <w:color w:val="auto"/>
        </w:rPr>
        <w:t>在服务质量不能满足合同要求时</w:t>
      </w:r>
      <w:r>
        <w:rPr>
          <w:rFonts w:hint="eastAsia" w:ascii="宋体"/>
          <w:color w:val="auto"/>
        </w:rPr>
        <w:t>，甲方具有</w:t>
      </w:r>
      <w:r>
        <w:rPr>
          <w:rFonts w:ascii="宋体"/>
          <w:color w:val="auto"/>
        </w:rPr>
        <w:t>优先获取服务资源的权利</w:t>
      </w:r>
      <w:r>
        <w:rPr>
          <w:rFonts w:hint="eastAsia" w:ascii="宋体"/>
          <w:color w:val="auto"/>
        </w:rPr>
        <w:t>，原则上应为最高级。若</w:t>
      </w:r>
      <w:r>
        <w:rPr>
          <w:rFonts w:ascii="宋体"/>
          <w:color w:val="auto"/>
        </w:rPr>
        <w:t>甲方要求</w:t>
      </w:r>
      <w:r>
        <w:rPr>
          <w:rFonts w:hint="eastAsia" w:ascii="宋体"/>
          <w:color w:val="auto"/>
        </w:rPr>
        <w:t>乙方参与应急演练，乙方</w:t>
      </w:r>
      <w:r>
        <w:rPr>
          <w:rFonts w:ascii="宋体"/>
          <w:color w:val="auto"/>
        </w:rPr>
        <w:t>应配合完成</w:t>
      </w:r>
      <w:r>
        <w:rPr>
          <w:rFonts w:hint="eastAsia" w:ascii="宋体"/>
          <w:color w:val="auto"/>
        </w:rPr>
        <w:t>。</w:t>
      </w:r>
    </w:p>
    <w:p w14:paraId="3062266C">
      <w:pPr>
        <w:ind w:firstLine="420"/>
        <w:rPr>
          <w:rFonts w:ascii="宋体"/>
          <w:color w:val="auto"/>
        </w:rPr>
      </w:pPr>
      <w:r>
        <w:rPr>
          <w:rFonts w:hint="eastAsia" w:ascii="宋体"/>
          <w:color w:val="auto"/>
        </w:rPr>
        <w:t>8.2.10 乙方应当自己完成本合同项下的开发、测试或维护等工作，而不得转包或变相转包给任何第三方。</w:t>
      </w:r>
    </w:p>
    <w:p w14:paraId="4068B881">
      <w:pPr>
        <w:ind w:firstLine="420"/>
        <w:rPr>
          <w:rFonts w:ascii="宋体"/>
          <w:bCs/>
          <w:color w:val="auto"/>
        </w:rPr>
      </w:pPr>
      <w:r>
        <w:rPr>
          <w:rFonts w:ascii="宋体"/>
          <w:color w:val="auto"/>
        </w:rPr>
        <w:t xml:space="preserve">8.2.11 </w:t>
      </w:r>
      <w:r>
        <w:rPr>
          <w:rFonts w:ascii="宋体"/>
          <w:bCs/>
          <w:color w:val="auto"/>
        </w:rPr>
        <w:t>因政策或环境变化，或乙方由于其自身原因可能造成的服务变更或中断，乙方需配合甲方制定并按计划实施退出方案；过渡期间，乙方应继续履行约定的义务，保障甲方相关工作正常开展，保障业务连续性；并根据甲方要求，梳理项目可交付物，完成项目成果及资料交接。</w:t>
      </w:r>
    </w:p>
    <w:p w14:paraId="0C7AFA58">
      <w:pPr>
        <w:ind w:firstLine="420"/>
        <w:rPr>
          <w:rFonts w:ascii="宋体"/>
          <w:bCs/>
          <w:color w:val="auto"/>
        </w:rPr>
      </w:pPr>
      <w:r>
        <w:rPr>
          <w:rFonts w:hint="eastAsia" w:ascii="宋体"/>
          <w:bCs/>
          <w:color w:val="auto"/>
        </w:rPr>
        <w:t>8</w:t>
      </w:r>
      <w:r>
        <w:rPr>
          <w:rFonts w:ascii="宋体"/>
          <w:bCs/>
          <w:color w:val="auto"/>
        </w:rPr>
        <w:t xml:space="preserve">.2.12 </w:t>
      </w:r>
      <w:r>
        <w:rPr>
          <w:rFonts w:hint="eastAsia" w:ascii="宋体"/>
          <w:bCs/>
          <w:color w:val="auto"/>
        </w:rPr>
        <w:t>乙方应接受甲方不定期组织开展</w:t>
      </w:r>
      <w:r>
        <w:rPr>
          <w:rFonts w:ascii="宋体"/>
          <w:bCs/>
          <w:color w:val="auto"/>
        </w:rPr>
        <w:t>的</w:t>
      </w:r>
      <w:r>
        <w:rPr>
          <w:rFonts w:hint="eastAsia" w:ascii="宋体"/>
          <w:bCs/>
          <w:color w:val="auto"/>
        </w:rPr>
        <w:t>网络和信息安全教育，增强网络和信息安全意识</w:t>
      </w:r>
      <w:r>
        <w:rPr>
          <w:rFonts w:ascii="宋体"/>
          <w:bCs/>
          <w:color w:val="auto"/>
        </w:rPr>
        <w:t>。</w:t>
      </w:r>
    </w:p>
    <w:p w14:paraId="64E2AE66">
      <w:pPr>
        <w:ind w:firstLine="420"/>
        <w:rPr>
          <w:rFonts w:ascii="宋体"/>
          <w:bCs/>
          <w:color w:val="auto"/>
        </w:rPr>
      </w:pPr>
      <w:r>
        <w:rPr>
          <w:rFonts w:hint="eastAsia" w:ascii="宋体"/>
          <w:bCs/>
          <w:color w:val="auto"/>
        </w:rPr>
        <w:t>8.2.13</w:t>
      </w:r>
      <w:r>
        <w:rPr>
          <w:rFonts w:ascii="宋体"/>
          <w:bCs/>
          <w:color w:val="auto"/>
        </w:rPr>
        <w:t xml:space="preserve"> </w:t>
      </w:r>
      <w:r>
        <w:rPr>
          <w:rFonts w:hint="eastAsia" w:ascii="宋体"/>
          <w:bCs/>
          <w:color w:val="auto"/>
        </w:rPr>
        <w:t>未经甲方许可，乙方人员不得下载、查阅甲方内部信息</w:t>
      </w:r>
      <w:r>
        <w:rPr>
          <w:rFonts w:ascii="宋体"/>
          <w:bCs/>
          <w:color w:val="auto"/>
        </w:rPr>
        <w:t>。</w:t>
      </w:r>
    </w:p>
    <w:p w14:paraId="6749743E">
      <w:pPr>
        <w:ind w:firstLine="420"/>
        <w:rPr>
          <w:rFonts w:ascii="宋体"/>
          <w:color w:val="auto"/>
        </w:rPr>
      </w:pPr>
    </w:p>
    <w:p w14:paraId="07FD4BAA">
      <w:pPr>
        <w:ind w:firstLine="413" w:firstLineChars="196"/>
        <w:rPr>
          <w:rFonts w:ascii="宋体"/>
          <w:b/>
          <w:color w:val="auto"/>
        </w:rPr>
      </w:pPr>
      <w:bookmarkStart w:id="944" w:name="_Toc84948033"/>
      <w:r>
        <w:rPr>
          <w:rFonts w:hint="eastAsia" w:ascii="宋体"/>
          <w:b/>
          <w:color w:val="auto"/>
        </w:rPr>
        <w:t>第九条 乙方的声明与保证</w:t>
      </w:r>
      <w:bookmarkEnd w:id="944"/>
    </w:p>
    <w:p w14:paraId="1B4C63C5">
      <w:pPr>
        <w:ind w:firstLine="420"/>
        <w:rPr>
          <w:rFonts w:ascii="宋体"/>
          <w:color w:val="auto"/>
        </w:rPr>
      </w:pPr>
      <w:r>
        <w:rPr>
          <w:rFonts w:hint="eastAsia" w:ascii="宋体"/>
          <w:color w:val="auto"/>
        </w:rPr>
        <w:t>乙方向甲方做出如下声明与保证：</w:t>
      </w:r>
    </w:p>
    <w:p w14:paraId="5C9C3A15">
      <w:pPr>
        <w:ind w:firstLine="420"/>
        <w:rPr>
          <w:rFonts w:ascii="宋体"/>
          <w:color w:val="auto"/>
        </w:rPr>
      </w:pPr>
      <w:r>
        <w:rPr>
          <w:rFonts w:hint="eastAsia" w:ascii="宋体"/>
          <w:color w:val="auto"/>
        </w:rPr>
        <w:t>9.1乙方完全具有本合同项下项目实施的技术资质与实力，包括开发技术人员、硬件设施等。</w:t>
      </w:r>
    </w:p>
    <w:p w14:paraId="706D1656">
      <w:pPr>
        <w:ind w:firstLine="420"/>
        <w:rPr>
          <w:rFonts w:ascii="宋体"/>
          <w:color w:val="auto"/>
        </w:rPr>
      </w:pPr>
      <w:r>
        <w:rPr>
          <w:rFonts w:hint="eastAsia" w:ascii="宋体"/>
          <w:color w:val="auto"/>
        </w:rPr>
        <w:t>9.2乙方已对照本合同附件一中甲方确认的需求，确认乙方的设计方案已经涵盖了设计需求的各方面，并且乙方实施的产品是先进的、适用的、兼容的，能够满足甲方核心业务扩展的需求。</w:t>
      </w:r>
    </w:p>
    <w:p w14:paraId="23FED1DD">
      <w:pPr>
        <w:ind w:firstLine="420"/>
        <w:rPr>
          <w:rFonts w:ascii="宋体"/>
          <w:color w:val="auto"/>
        </w:rPr>
      </w:pPr>
      <w:r>
        <w:rPr>
          <w:rStyle w:val="60"/>
          <w:rFonts w:hint="eastAsia" w:ascii="宋体"/>
          <w:color w:val="auto"/>
          <w:kern w:val="0"/>
        </w:rPr>
        <w:t>9.3乙方在本项目中【使用】第三方</w:t>
      </w:r>
      <w:r>
        <w:rPr>
          <w:rStyle w:val="60"/>
          <w:rFonts w:ascii="宋体"/>
          <w:color w:val="auto"/>
          <w:kern w:val="0"/>
        </w:rPr>
        <w:t>产品</w:t>
      </w:r>
      <w:r>
        <w:rPr>
          <w:rStyle w:val="60"/>
          <w:rFonts w:hint="eastAsia" w:ascii="宋体"/>
          <w:color w:val="auto"/>
          <w:kern w:val="0"/>
        </w:rPr>
        <w:t>，</w:t>
      </w:r>
      <w:r>
        <w:rPr>
          <w:rStyle w:val="60"/>
          <w:rFonts w:ascii="宋体"/>
          <w:color w:val="auto"/>
          <w:kern w:val="0"/>
        </w:rPr>
        <w:t>包括第三方</w:t>
      </w:r>
      <w:r>
        <w:rPr>
          <w:rStyle w:val="60"/>
          <w:rFonts w:hint="eastAsia" w:ascii="宋体"/>
          <w:color w:val="auto"/>
          <w:kern w:val="0"/>
        </w:rPr>
        <w:t>SDK、小程序、软件、开源组件等，（若选择【使用】请列举）例：第三方SDK：XXXX、XXX；第三方小程序：XXX等。</w:t>
      </w:r>
      <w:r>
        <w:rPr>
          <w:rFonts w:hint="eastAsia" w:ascii="宋体"/>
          <w:color w:val="auto"/>
        </w:rPr>
        <w:t>若乙方在项目中使用了第三方产品，乙方须按如下要求执行：</w:t>
      </w:r>
    </w:p>
    <w:p w14:paraId="01C5BF11">
      <w:pPr>
        <w:ind w:firstLine="420"/>
        <w:rPr>
          <w:rFonts w:ascii="宋体"/>
          <w:color w:val="auto"/>
        </w:rPr>
      </w:pPr>
      <w:r>
        <w:rPr>
          <w:rFonts w:hint="eastAsia" w:ascii="宋体"/>
          <w:color w:val="auto"/>
        </w:rPr>
        <w:t>（1）针对第三方SDK：乙方应开展安全评估和个人信息保护评估，并提供无中高风险的评估报告；</w:t>
      </w:r>
    </w:p>
    <w:p w14:paraId="1A3F8FFF">
      <w:pPr>
        <w:ind w:firstLine="420"/>
        <w:rPr>
          <w:rFonts w:ascii="宋体"/>
          <w:color w:val="auto"/>
        </w:rPr>
      </w:pPr>
      <w:r>
        <w:rPr>
          <w:rFonts w:hint="eastAsia" w:ascii="宋体"/>
          <w:color w:val="auto"/>
        </w:rPr>
        <w:t>（2）针对第三方小程序：乙方应开展安全评估，并提供无中高风险漏洞的安全评估报告。</w:t>
      </w:r>
    </w:p>
    <w:p w14:paraId="1383F28C">
      <w:pPr>
        <w:ind w:firstLine="420"/>
        <w:rPr>
          <w:rStyle w:val="60"/>
          <w:rFonts w:ascii="宋体"/>
          <w:color w:val="auto"/>
          <w:kern w:val="0"/>
        </w:rPr>
      </w:pPr>
      <w:r>
        <w:rPr>
          <w:rFonts w:hint="eastAsia" w:ascii="宋体"/>
          <w:color w:val="auto"/>
        </w:rPr>
        <w:t>（</w:t>
      </w:r>
      <w:r>
        <w:rPr>
          <w:rFonts w:ascii="宋体"/>
          <w:color w:val="auto"/>
        </w:rPr>
        <w:t>3</w:t>
      </w:r>
      <w:r>
        <w:rPr>
          <w:rFonts w:hint="eastAsia" w:ascii="宋体"/>
          <w:color w:val="auto"/>
        </w:rPr>
        <w:t>）若</w:t>
      </w:r>
      <w:r>
        <w:rPr>
          <w:rStyle w:val="60"/>
          <w:rFonts w:hint="eastAsia" w:ascii="宋体"/>
          <w:color w:val="auto"/>
          <w:kern w:val="0"/>
        </w:rPr>
        <w:t>第三方产品出现安全漏洞</w:t>
      </w:r>
      <w:r>
        <w:rPr>
          <w:rFonts w:hint="eastAsia" w:ascii="宋体"/>
          <w:color w:val="auto"/>
        </w:rPr>
        <w:t>或违反个人信息保护相关法规，</w:t>
      </w:r>
      <w:r>
        <w:rPr>
          <w:rStyle w:val="60"/>
          <w:rFonts w:hint="eastAsia" w:ascii="宋体"/>
          <w:color w:val="auto"/>
          <w:kern w:val="0"/>
        </w:rPr>
        <w:t>甲方有权要求乙方进行修复，若因此给甲方造成损失的，甲方有权随时向乙方追偿。</w:t>
      </w:r>
    </w:p>
    <w:p w14:paraId="47FCA539">
      <w:pPr>
        <w:ind w:firstLine="420"/>
        <w:rPr>
          <w:rStyle w:val="60"/>
          <w:rFonts w:ascii="宋体"/>
          <w:color w:val="auto"/>
          <w:kern w:val="0"/>
        </w:rPr>
      </w:pPr>
      <w:r>
        <w:rPr>
          <w:rStyle w:val="60"/>
          <w:rFonts w:hint="eastAsia" w:ascii="宋体"/>
          <w:color w:val="auto"/>
          <w:kern w:val="0"/>
        </w:rPr>
        <w:t>9</w:t>
      </w:r>
      <w:r>
        <w:rPr>
          <w:rStyle w:val="60"/>
          <w:rFonts w:ascii="宋体"/>
          <w:color w:val="auto"/>
          <w:kern w:val="0"/>
        </w:rPr>
        <w:t>.4</w:t>
      </w:r>
      <w:r>
        <w:rPr>
          <w:rStyle w:val="60"/>
          <w:rFonts w:hint="eastAsia" w:ascii="宋体"/>
          <w:color w:val="auto"/>
          <w:kern w:val="0"/>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425B56AC">
      <w:pPr>
        <w:ind w:firstLine="420"/>
        <w:rPr>
          <w:rFonts w:ascii="宋体"/>
          <w:color w:val="auto"/>
        </w:rPr>
      </w:pPr>
      <w:r>
        <w:rPr>
          <w:rFonts w:hint="eastAsia" w:ascii="宋体"/>
          <w:color w:val="auto"/>
        </w:rPr>
        <w:t>9.5乙方向甲方提供的产品和服务不会有任何第三方主张权利，也不会侵害任何第三方的合法权益，包括知识产权。</w:t>
      </w:r>
    </w:p>
    <w:p w14:paraId="4518CB97">
      <w:pPr>
        <w:ind w:firstLine="420"/>
        <w:rPr>
          <w:rFonts w:ascii="宋体"/>
          <w:color w:val="auto"/>
        </w:rPr>
      </w:pPr>
      <w:r>
        <w:rPr>
          <w:rFonts w:hint="eastAsia" w:ascii="宋体"/>
          <w:color w:val="auto"/>
        </w:rPr>
        <w:t>9.</w:t>
      </w:r>
      <w:r>
        <w:rPr>
          <w:rFonts w:ascii="宋体"/>
          <w:color w:val="auto"/>
        </w:rPr>
        <w:t>6</w:t>
      </w:r>
      <w:r>
        <w:rPr>
          <w:rFonts w:hint="eastAsia" w:ascii="宋体"/>
          <w:color w:val="auto"/>
        </w:rPr>
        <w:t>乙方保证遵守甲方《重庆三峡银行员工回避管理办法》中招录回避、任职回避、公务回避的相关要求。若发现乙方人员与甲方内部人员存在亲属关系，乙方应主动报告，并采取相应回避措施。</w:t>
      </w:r>
    </w:p>
    <w:p w14:paraId="63474827">
      <w:pPr>
        <w:ind w:firstLine="420"/>
        <w:rPr>
          <w:rFonts w:ascii="宋体"/>
          <w:color w:val="auto"/>
        </w:rPr>
      </w:pPr>
      <w:r>
        <w:rPr>
          <w:rFonts w:hint="eastAsia" w:ascii="宋体"/>
          <w:color w:val="auto"/>
        </w:rPr>
        <w:t>9.</w:t>
      </w:r>
      <w:r>
        <w:rPr>
          <w:rFonts w:ascii="宋体"/>
          <w:color w:val="auto"/>
        </w:rPr>
        <w:t>7</w:t>
      </w:r>
      <w:r>
        <w:rPr>
          <w:rFonts w:hint="eastAsia" w:ascii="宋体"/>
          <w:color w:val="auto"/>
        </w:rPr>
        <w:t xml:space="preserve"> 乙方保证其人员无不良记录，服务商与其建立合法的雇佣关系，依法履行用工管理职责。</w:t>
      </w:r>
    </w:p>
    <w:p w14:paraId="40A7FA60">
      <w:pPr>
        <w:ind w:firstLine="420"/>
        <w:rPr>
          <w:rFonts w:ascii="宋体"/>
          <w:color w:val="auto"/>
        </w:rPr>
      </w:pPr>
      <w:r>
        <w:rPr>
          <w:rFonts w:hint="eastAsia" w:ascii="宋体"/>
          <w:color w:val="auto"/>
        </w:rPr>
        <w:t>9.</w:t>
      </w:r>
      <w:r>
        <w:rPr>
          <w:rFonts w:ascii="宋体"/>
          <w:color w:val="auto"/>
        </w:rPr>
        <w:t>8</w:t>
      </w:r>
      <w:r>
        <w:rPr>
          <w:rFonts w:hint="eastAsia" w:ascii="宋体"/>
          <w:color w:val="auto"/>
        </w:rPr>
        <w:t xml:space="preserve"> 乙方定期通报外包事项，及时通报外包突发性事件及解决情况。</w:t>
      </w:r>
    </w:p>
    <w:p w14:paraId="073D1889">
      <w:pPr>
        <w:ind w:firstLine="420"/>
        <w:rPr>
          <w:rFonts w:ascii="宋体"/>
          <w:color w:val="auto"/>
        </w:rPr>
      </w:pPr>
    </w:p>
    <w:p w14:paraId="4DE2E336">
      <w:pPr>
        <w:ind w:firstLine="413" w:firstLineChars="196"/>
        <w:rPr>
          <w:rFonts w:ascii="宋体"/>
          <w:b/>
          <w:color w:val="auto"/>
        </w:rPr>
      </w:pPr>
      <w:bookmarkStart w:id="945" w:name="_Toc84948034"/>
      <w:r>
        <w:rPr>
          <w:rFonts w:hint="eastAsia" w:ascii="宋体"/>
          <w:b/>
          <w:color w:val="auto"/>
        </w:rPr>
        <w:t>第十条 知识产权</w:t>
      </w:r>
      <w:bookmarkEnd w:id="945"/>
    </w:p>
    <w:p w14:paraId="1433653D">
      <w:pPr>
        <w:ind w:firstLine="420"/>
        <w:rPr>
          <w:rStyle w:val="60"/>
          <w:rFonts w:ascii="宋体"/>
          <w:color w:val="auto"/>
          <w:kern w:val="0"/>
        </w:rPr>
      </w:pPr>
      <w:r>
        <w:rPr>
          <w:rStyle w:val="60"/>
          <w:rFonts w:hint="eastAsia" w:ascii="宋体"/>
          <w:color w:val="auto"/>
          <w:kern w:val="0"/>
        </w:rPr>
        <w:t>10.1乙方提供的产品和服务以及在项目中用到的各种工具、产品、组件、文档不得侵犯任何方的知识产权和其他合法权益。不得侵犯甲方商誉，任何人未经甲方同意不得使用甲方合法所有的知识产权，由此造成的一切损失由乙方承担赔偿责任。</w:t>
      </w:r>
    </w:p>
    <w:p w14:paraId="12BF87BD">
      <w:pPr>
        <w:ind w:firstLine="420"/>
        <w:rPr>
          <w:rStyle w:val="60"/>
          <w:rFonts w:ascii="宋体"/>
          <w:color w:val="auto"/>
        </w:rPr>
      </w:pPr>
      <w:bookmarkStart w:id="946" w:name="_Toc84948035"/>
      <w:r>
        <w:rPr>
          <w:rFonts w:ascii="宋体"/>
          <w:color w:val="auto"/>
        </w:rPr>
        <w:t>10</w:t>
      </w:r>
      <w:r>
        <w:rPr>
          <w:rFonts w:hint="eastAsia" w:ascii="宋体"/>
          <w:color w:val="auto"/>
        </w:rPr>
        <w:t>.</w:t>
      </w:r>
      <w:r>
        <w:rPr>
          <w:rFonts w:ascii="宋体"/>
          <w:color w:val="auto"/>
        </w:rPr>
        <w:t xml:space="preserve">2 </w:t>
      </w:r>
      <w:r>
        <w:rPr>
          <w:rFonts w:hint="eastAsia" w:ascii="宋体"/>
          <w:color w:val="auto"/>
        </w:rPr>
        <w:t>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14:paraId="58C72870">
      <w:pPr>
        <w:ind w:firstLine="420"/>
        <w:rPr>
          <w:rStyle w:val="60"/>
          <w:rFonts w:ascii="宋体"/>
          <w:color w:val="auto"/>
        </w:rPr>
      </w:pPr>
      <w:r>
        <w:rPr>
          <w:rFonts w:hint="eastAsia" w:ascii="宋体"/>
          <w:color w:val="auto"/>
        </w:rPr>
        <w:t>10.</w:t>
      </w:r>
      <w:r>
        <w:rPr>
          <w:rFonts w:ascii="宋体"/>
          <w:color w:val="auto"/>
        </w:rPr>
        <w:t>3</w:t>
      </w:r>
      <w:r>
        <w:rPr>
          <w:rFonts w:hint="eastAsia" w:ascii="宋体"/>
          <w:color w:val="auto"/>
        </w:rPr>
        <w:t>乙方应将有关资料（数据库设计文件、技术文件和用户手册等全部资料）在甲方要求期限内，按国家有关项目开发标准以文字等载体的形式交给甲方，甲方拥有永久的使用权。</w:t>
      </w:r>
      <w:r>
        <w:rPr>
          <w:rStyle w:val="60"/>
          <w:rFonts w:hint="eastAsia" w:ascii="宋体"/>
          <w:color w:val="auto"/>
        </w:rPr>
        <w:t>乙方须提供全部源代码（包含以下内容：产品源代码、客户化源代码、系统平台源代码、第三方产品源代码，底层架构和通讯层的源代码）、代码解析平台（若有）及源代码说明文档、源代码注释说明、基线版本号等相关内容，乙方应进行无保留的知识转移。</w:t>
      </w:r>
    </w:p>
    <w:p w14:paraId="6B67352A">
      <w:pPr>
        <w:ind w:firstLine="420"/>
        <w:rPr>
          <w:rStyle w:val="60"/>
          <w:rFonts w:ascii="宋体"/>
          <w:color w:val="auto"/>
        </w:rPr>
      </w:pPr>
      <w:r>
        <w:rPr>
          <w:rStyle w:val="60"/>
          <w:rFonts w:hint="eastAsia" w:ascii="宋体"/>
          <w:color w:val="auto"/>
        </w:rPr>
        <w:t>1</w:t>
      </w:r>
      <w:r>
        <w:rPr>
          <w:rStyle w:val="60"/>
          <w:rFonts w:ascii="宋体"/>
          <w:color w:val="auto"/>
        </w:rPr>
        <w:t>0.4本项目</w:t>
      </w:r>
      <w:r>
        <w:rPr>
          <w:rStyle w:val="60"/>
          <w:rFonts w:hint="eastAsia" w:ascii="宋体"/>
          <w:color w:val="auto"/>
        </w:rPr>
        <w:t>客户化源代码的知识产权归甲方单独所有，其余部分归双方共有。但乙方在本合同签署前已有知识产权仍归原权利人所有。</w:t>
      </w:r>
    </w:p>
    <w:p w14:paraId="716F7C59">
      <w:pPr>
        <w:ind w:firstLine="420"/>
        <w:rPr>
          <w:rStyle w:val="60"/>
          <w:rFonts w:ascii="宋体"/>
          <w:color w:val="auto"/>
          <w:kern w:val="0"/>
        </w:rPr>
      </w:pPr>
      <w:r>
        <w:rPr>
          <w:rStyle w:val="60"/>
          <w:rFonts w:hint="eastAsia" w:ascii="宋体"/>
          <w:color w:val="auto"/>
        </w:rPr>
        <w:t>1</w:t>
      </w:r>
      <w:r>
        <w:rPr>
          <w:rStyle w:val="60"/>
          <w:rFonts w:ascii="宋体"/>
          <w:color w:val="auto"/>
        </w:rPr>
        <w:t>0.4.1</w:t>
      </w:r>
      <w:r>
        <w:rPr>
          <w:rStyle w:val="60"/>
          <w:rFonts w:hint="eastAsia" w:ascii="宋体"/>
          <w:color w:val="auto"/>
          <w:kern w:val="0"/>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14:paraId="5D025858">
      <w:pPr>
        <w:ind w:firstLine="420"/>
        <w:rPr>
          <w:rStyle w:val="60"/>
          <w:rFonts w:ascii="宋体"/>
          <w:color w:val="auto"/>
        </w:rPr>
      </w:pPr>
      <w:r>
        <w:rPr>
          <w:rStyle w:val="60"/>
          <w:rFonts w:ascii="宋体"/>
          <w:color w:val="auto"/>
        </w:rPr>
        <w:t>10.4.2</w:t>
      </w:r>
      <w:r>
        <w:rPr>
          <w:rStyle w:val="60"/>
          <w:rFonts w:hint="eastAsia" w:ascii="宋体"/>
          <w:color w:val="auto"/>
        </w:rPr>
        <w:t>针对共有部分，甲方拥有在甲方及其分支机构使用及后续开发的权利，</w:t>
      </w:r>
      <w:r>
        <w:rPr>
          <w:rFonts w:hint="eastAsia" w:ascii="宋体"/>
          <w:color w:val="auto"/>
        </w:rPr>
        <w:t>甲方在乙方交付的系统版本上进行自主开发或交由第三方公司开发，开发成果的知识产权归甲方所有。</w:t>
      </w:r>
      <w:r>
        <w:rPr>
          <w:rStyle w:val="60"/>
          <w:rFonts w:hint="eastAsia" w:ascii="宋体"/>
          <w:color w:val="auto"/>
        </w:rPr>
        <w:t>乙方拥有在其公司和其他组织范围内使用的权利，但乙方使用时不得侵犯甲方利益。</w:t>
      </w:r>
    </w:p>
    <w:p w14:paraId="3E04051B">
      <w:pPr>
        <w:ind w:firstLine="420"/>
        <w:rPr>
          <w:rStyle w:val="60"/>
          <w:rFonts w:ascii="宋体"/>
          <w:color w:val="auto"/>
        </w:rPr>
      </w:pPr>
      <w:r>
        <w:rPr>
          <w:rStyle w:val="60"/>
          <w:rFonts w:ascii="宋体"/>
          <w:color w:val="auto"/>
        </w:rPr>
        <w:t>10.4.</w:t>
      </w:r>
      <w:r>
        <w:rPr>
          <w:rStyle w:val="60"/>
          <w:rFonts w:hint="eastAsia" w:ascii="宋体"/>
          <w:color w:val="auto"/>
        </w:rPr>
        <w:t>3</w:t>
      </w:r>
      <w:r>
        <w:rPr>
          <w:rStyle w:val="60"/>
          <w:rFonts w:hint="eastAsia"/>
          <w:color w:val="auto"/>
        </w:rPr>
        <w:t>一经发现乙方将甲方具有自主知识产权的咨询成果、系统代码违规转让、销售、赠送或泄露给第三方，或者通过互联网渠道（如百度网盘、GitHub仓库等）违规公开分享与该系统相关的重要配置数据、开发设计文档以及产品源代码，将视情节轻重情况给予乙方相应处罚（处罚金额不低于合同金额的10%）。</w:t>
      </w:r>
    </w:p>
    <w:p w14:paraId="3B44AE2E">
      <w:pPr>
        <w:ind w:firstLine="420"/>
        <w:rPr>
          <w:rFonts w:ascii="宋体"/>
          <w:color w:val="auto"/>
          <w:kern w:val="0"/>
        </w:rPr>
      </w:pPr>
    </w:p>
    <w:p w14:paraId="54DAFE97">
      <w:pPr>
        <w:ind w:firstLine="413" w:firstLineChars="196"/>
        <w:rPr>
          <w:rFonts w:ascii="宋体"/>
          <w:b/>
          <w:color w:val="auto"/>
        </w:rPr>
      </w:pPr>
      <w:r>
        <w:rPr>
          <w:rFonts w:hint="eastAsia" w:ascii="宋体"/>
          <w:b/>
          <w:color w:val="auto"/>
        </w:rPr>
        <w:t>第十一条 第三方索赔</w:t>
      </w:r>
      <w:bookmarkEnd w:id="946"/>
    </w:p>
    <w:p w14:paraId="7065C590">
      <w:pPr>
        <w:ind w:firstLine="420"/>
        <w:rPr>
          <w:rFonts w:ascii="宋体"/>
          <w:color w:val="auto"/>
        </w:rPr>
      </w:pPr>
      <w:r>
        <w:rPr>
          <w:rFonts w:hint="eastAsia" w:ascii="宋体"/>
          <w:color w:val="auto"/>
        </w:rPr>
        <w:t>11.1对于任何针对甲方提出的有关乙方提供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14:paraId="0B5915EF">
      <w:pPr>
        <w:ind w:firstLine="420"/>
        <w:rPr>
          <w:rFonts w:ascii="宋体"/>
          <w:color w:val="auto"/>
        </w:rPr>
      </w:pPr>
      <w:r>
        <w:rPr>
          <w:rFonts w:hint="eastAsia" w:ascii="宋体"/>
          <w:color w:val="auto"/>
        </w:rPr>
        <w:t>11.2对于第11.1条涉及的侵权索赔，乙方将承担全部费用，包括</w:t>
      </w:r>
      <w:r>
        <w:rPr>
          <w:rStyle w:val="60"/>
          <w:rFonts w:hint="eastAsia" w:ascii="宋体"/>
          <w:color w:val="auto"/>
          <w:kern w:val="0"/>
        </w:rPr>
        <w:t>诉讼费、仲裁费、甲方支付的律师费、差旅住宿费、公证费、鉴定费、调解费及仲裁裁决、法院判决或调解协议中由甲方承担的赔偿金。</w:t>
      </w:r>
    </w:p>
    <w:p w14:paraId="73AB2599">
      <w:pPr>
        <w:ind w:firstLine="420"/>
        <w:rPr>
          <w:rFonts w:ascii="宋体"/>
          <w:color w:val="auto"/>
        </w:rPr>
      </w:pPr>
      <w:r>
        <w:rPr>
          <w:rFonts w:hint="eastAsia" w:ascii="宋体"/>
          <w:color w:val="auto"/>
        </w:rPr>
        <w:t>11.3如果产品可能引起索赔，乙方经甲方书面同意，并由甲方选择，采取下列补救措施：修改产品、取得任何必需的许可或更换产品。如果甲方认为上述任何方法不能实行有效补救，乙方应退还甲方已支付的全部款项并赔偿由此给甲方造成的全</w:t>
      </w:r>
      <w:r>
        <w:rPr>
          <w:rStyle w:val="60"/>
          <w:rFonts w:hint="eastAsia" w:ascii="宋体"/>
          <w:color w:val="auto"/>
          <w:kern w:val="0"/>
        </w:rPr>
        <w:t>部损失</w:t>
      </w:r>
      <w:r>
        <w:rPr>
          <w:rFonts w:hint="eastAsia" w:ascii="宋体"/>
          <w:color w:val="auto"/>
        </w:rPr>
        <w:t>。</w:t>
      </w:r>
    </w:p>
    <w:p w14:paraId="07CE4C22">
      <w:pPr>
        <w:ind w:firstLine="420"/>
        <w:rPr>
          <w:rFonts w:ascii="宋体"/>
          <w:color w:val="auto"/>
        </w:rPr>
      </w:pPr>
      <w:r>
        <w:rPr>
          <w:rFonts w:hint="eastAsia" w:ascii="宋体"/>
          <w:color w:val="auto"/>
        </w:rPr>
        <w:t>11.4乙方对由以下非乙方的过错引起的侵权索赔不承担责任：</w:t>
      </w:r>
    </w:p>
    <w:p w14:paraId="104B570C">
      <w:pPr>
        <w:ind w:firstLine="420"/>
        <w:rPr>
          <w:rFonts w:ascii="宋体"/>
          <w:color w:val="auto"/>
        </w:rPr>
      </w:pPr>
      <w:r>
        <w:rPr>
          <w:rStyle w:val="60"/>
          <w:rFonts w:hint="eastAsia" w:ascii="宋体"/>
          <w:color w:val="auto"/>
          <w:kern w:val="0"/>
        </w:rPr>
        <w:t>11.4.1 甲方使用不当所造成的侵权。</w:t>
      </w:r>
    </w:p>
    <w:p w14:paraId="35571EA8">
      <w:pPr>
        <w:ind w:firstLine="420"/>
        <w:rPr>
          <w:rFonts w:ascii="宋体"/>
          <w:color w:val="auto"/>
        </w:rPr>
      </w:pPr>
      <w:r>
        <w:rPr>
          <w:rFonts w:hint="eastAsia" w:ascii="宋体"/>
          <w:color w:val="auto"/>
        </w:rPr>
        <w:t>11.4.2 因甲方或第三方对开发软件或资料进行修改所直接造成的侵权。</w:t>
      </w:r>
    </w:p>
    <w:p w14:paraId="6A3FEED1">
      <w:pPr>
        <w:ind w:firstLine="420"/>
        <w:rPr>
          <w:rFonts w:ascii="宋体"/>
          <w:color w:val="auto"/>
        </w:rPr>
      </w:pPr>
    </w:p>
    <w:p w14:paraId="31B9B553">
      <w:pPr>
        <w:ind w:firstLine="413" w:firstLineChars="196"/>
        <w:rPr>
          <w:rFonts w:ascii="宋体"/>
          <w:b/>
          <w:color w:val="auto"/>
        </w:rPr>
      </w:pPr>
      <w:bookmarkStart w:id="947" w:name="_Toc84948036"/>
      <w:r>
        <w:rPr>
          <w:rFonts w:hint="eastAsia" w:ascii="宋体"/>
          <w:b/>
          <w:color w:val="auto"/>
        </w:rPr>
        <w:t>第十二条 保密</w:t>
      </w:r>
      <w:bookmarkEnd w:id="947"/>
    </w:p>
    <w:p w14:paraId="3C6DEC1F">
      <w:pPr>
        <w:ind w:firstLine="420"/>
        <w:rPr>
          <w:rFonts w:ascii="宋体"/>
          <w:bCs/>
          <w:color w:val="auto"/>
          <w:kern w:val="0"/>
        </w:rPr>
      </w:pPr>
      <w:r>
        <w:rPr>
          <w:rFonts w:hint="eastAsia" w:ascii="宋体"/>
          <w:bCs/>
          <w:color w:val="auto"/>
          <w:kern w:val="0"/>
        </w:rPr>
        <w:t>12.1乙方须对本合同项下的所有条款保密。乙方人员入场前须与甲方签订相应诚信安全承诺书。</w:t>
      </w:r>
    </w:p>
    <w:p w14:paraId="6008393A">
      <w:pPr>
        <w:tabs>
          <w:tab w:val="left" w:pos="1134"/>
        </w:tabs>
        <w:ind w:firstLine="420"/>
        <w:rPr>
          <w:rFonts w:ascii="宋体"/>
          <w:color w:val="auto"/>
          <w:kern w:val="0"/>
        </w:rPr>
      </w:pPr>
      <w:r>
        <w:rPr>
          <w:rFonts w:hint="eastAsia" w:ascii="宋体"/>
          <w:color w:val="auto"/>
          <w:kern w:val="0"/>
        </w:rPr>
        <w:t>12.</w:t>
      </w:r>
      <w:r>
        <w:rPr>
          <w:rFonts w:ascii="宋体"/>
          <w:color w:val="auto"/>
          <w:kern w:val="0"/>
        </w:rPr>
        <w:t>2</w:t>
      </w:r>
      <w:r>
        <w:rPr>
          <w:rFonts w:hint="eastAsia" w:ascii="宋体"/>
          <w:color w:val="auto"/>
          <w:kern w:val="0"/>
        </w:rPr>
        <w:t>乙方应对本合同所述的客户信息、</w:t>
      </w:r>
      <w:r>
        <w:rPr>
          <w:rFonts w:hint="eastAsia" w:ascii="宋体"/>
          <w:bCs/>
          <w:color w:val="auto"/>
          <w:kern w:val="0"/>
        </w:rPr>
        <w:t>技术资料、业务流程、源代码</w:t>
      </w:r>
      <w:r>
        <w:rPr>
          <w:rFonts w:ascii="宋体"/>
          <w:bCs/>
          <w:color w:val="auto"/>
          <w:kern w:val="0"/>
        </w:rPr>
        <w:t>、</w:t>
      </w:r>
      <w:r>
        <w:rPr>
          <w:rFonts w:hint="eastAsia" w:ascii="宋体"/>
          <w:bCs/>
          <w:color w:val="auto"/>
          <w:kern w:val="0"/>
        </w:rPr>
        <w:t>数据等</w:t>
      </w:r>
      <w:r>
        <w:rPr>
          <w:rFonts w:ascii="宋体"/>
          <w:bCs/>
          <w:color w:val="auto"/>
          <w:kern w:val="0"/>
        </w:rPr>
        <w:t>重要</w:t>
      </w:r>
      <w:r>
        <w:rPr>
          <w:rFonts w:hint="eastAsia" w:ascii="宋体"/>
          <w:bCs/>
          <w:color w:val="auto"/>
          <w:kern w:val="0"/>
        </w:rPr>
        <w:t>信息</w:t>
      </w:r>
      <w:r>
        <w:rPr>
          <w:rFonts w:hint="eastAsia" w:ascii="宋体"/>
          <w:color w:val="auto"/>
          <w:kern w:val="0"/>
        </w:rPr>
        <w:t>采取保密措施，未经甲方的书面同意，乙方不得在合同允许范围外使用、披露、存放于</w:t>
      </w:r>
      <w:r>
        <w:rPr>
          <w:rFonts w:ascii="宋体"/>
          <w:color w:val="auto"/>
          <w:kern w:val="0"/>
        </w:rPr>
        <w:t>第三方托管平台</w:t>
      </w:r>
      <w:r>
        <w:rPr>
          <w:rFonts w:hint="eastAsia" w:ascii="宋体"/>
          <w:color w:val="auto"/>
          <w:kern w:val="0"/>
        </w:rPr>
        <w:t>、向无关人员或第三方透露，也不能就有关合同内容的任何部分进行新闻的发布、公开的宣称、否认或承认。</w:t>
      </w:r>
    </w:p>
    <w:p w14:paraId="3688495A">
      <w:pPr>
        <w:ind w:firstLine="420"/>
        <w:rPr>
          <w:rFonts w:ascii="宋体"/>
          <w:bCs/>
          <w:color w:val="auto"/>
          <w:kern w:val="0"/>
        </w:rPr>
      </w:pPr>
      <w:r>
        <w:rPr>
          <w:rFonts w:hint="eastAsia" w:ascii="宋体"/>
          <w:bCs/>
          <w:color w:val="auto"/>
          <w:kern w:val="0"/>
        </w:rPr>
        <w:t>12.</w:t>
      </w:r>
      <w:r>
        <w:rPr>
          <w:rFonts w:ascii="宋体"/>
          <w:bCs/>
          <w:color w:val="auto"/>
          <w:kern w:val="0"/>
        </w:rPr>
        <w:t>3</w:t>
      </w:r>
      <w:r>
        <w:rPr>
          <w:rFonts w:hint="eastAsia" w:ascii="宋体"/>
          <w:bCs/>
          <w:color w:val="auto"/>
          <w:kern w:val="0"/>
        </w:rPr>
        <w:t>乙方不得以甲方名义开展活动，不得将甲方数据、信息以任何形式转移、挪用或谋取合同约定以外的利益。</w:t>
      </w:r>
    </w:p>
    <w:p w14:paraId="2572CF06">
      <w:pPr>
        <w:ind w:firstLine="420"/>
        <w:rPr>
          <w:rFonts w:ascii="宋体"/>
          <w:color w:val="auto"/>
          <w:kern w:val="0"/>
        </w:rPr>
      </w:pPr>
      <w:r>
        <w:rPr>
          <w:rFonts w:hint="eastAsia" w:ascii="宋体"/>
          <w:color w:val="auto"/>
          <w:kern w:val="0"/>
        </w:rPr>
        <w:t>12.4乙方知道违反本条规定将给甲方客户权利以及甲方造成难以弥补的损失，为此同意承担由此产生的经济上和法律上的责任和</w:t>
      </w:r>
      <w:r>
        <w:rPr>
          <w:rFonts w:ascii="宋体"/>
          <w:color w:val="auto"/>
          <w:kern w:val="0"/>
        </w:rPr>
        <w:t>损失</w:t>
      </w:r>
      <w:r>
        <w:rPr>
          <w:rFonts w:hint="eastAsia" w:ascii="宋体"/>
          <w:color w:val="auto"/>
          <w:kern w:val="0"/>
        </w:rPr>
        <w:t>。</w:t>
      </w:r>
    </w:p>
    <w:p w14:paraId="407CDE0A">
      <w:pPr>
        <w:ind w:firstLine="420"/>
        <w:rPr>
          <w:rFonts w:ascii="宋体"/>
          <w:color w:val="auto"/>
          <w:kern w:val="0"/>
        </w:rPr>
      </w:pPr>
      <w:r>
        <w:rPr>
          <w:rFonts w:hint="eastAsia" w:ascii="宋体"/>
          <w:color w:val="auto"/>
          <w:kern w:val="0"/>
        </w:rPr>
        <w:t>12.5乙方承认本合同中的技术资料和技术秘密为甲方所专有，将其对乙方进行披露并不意味着任何所有权、专利权的转让。</w:t>
      </w:r>
    </w:p>
    <w:p w14:paraId="115EFCB4">
      <w:pPr>
        <w:ind w:firstLine="420"/>
        <w:rPr>
          <w:rFonts w:ascii="宋体"/>
          <w:color w:val="auto"/>
          <w:kern w:val="0"/>
        </w:rPr>
      </w:pPr>
      <w:r>
        <w:rPr>
          <w:rFonts w:hint="eastAsia" w:ascii="宋体"/>
          <w:color w:val="auto"/>
          <w:kern w:val="0"/>
        </w:rPr>
        <w:t>12.6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14:paraId="04113B6B">
      <w:pPr>
        <w:ind w:firstLine="420"/>
        <w:rPr>
          <w:rFonts w:ascii="宋体"/>
          <w:color w:val="auto"/>
          <w:kern w:val="0"/>
        </w:rPr>
      </w:pPr>
      <w:r>
        <w:rPr>
          <w:rFonts w:hint="eastAsia" w:ascii="宋体"/>
          <w:color w:val="auto"/>
          <w:kern w:val="0"/>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242129ED">
      <w:pPr>
        <w:ind w:firstLine="420"/>
        <w:rPr>
          <w:rFonts w:ascii="宋体"/>
          <w:color w:val="auto"/>
          <w:kern w:val="0"/>
        </w:rPr>
      </w:pPr>
      <w:r>
        <w:rPr>
          <w:rFonts w:hint="eastAsia" w:ascii="宋体"/>
          <w:color w:val="auto"/>
          <w:kern w:val="0"/>
        </w:rPr>
        <w:t>12.8除非甲方特别声明，乙方对于保密信息的保密义务为无限期保密，直至甲方宣布解密或者保密信息实际上已经公开。</w:t>
      </w:r>
    </w:p>
    <w:p w14:paraId="27522977">
      <w:pPr>
        <w:ind w:firstLine="420"/>
        <w:rPr>
          <w:rFonts w:ascii="宋体"/>
          <w:color w:val="auto"/>
          <w:kern w:val="0"/>
        </w:rPr>
      </w:pPr>
      <w:r>
        <w:rPr>
          <w:rFonts w:hint="eastAsia" w:ascii="宋体"/>
          <w:color w:val="auto"/>
          <w:kern w:val="0"/>
        </w:rPr>
        <w:t>12.9 本合同</w:t>
      </w:r>
      <w:r>
        <w:rPr>
          <w:rFonts w:ascii="宋体"/>
          <w:color w:val="auto"/>
          <w:kern w:val="0"/>
        </w:rPr>
        <w:t>项下乙方</w:t>
      </w:r>
      <w:r>
        <w:rPr>
          <w:rFonts w:hint="eastAsia" w:ascii="宋体"/>
          <w:color w:val="auto"/>
          <w:kern w:val="0"/>
        </w:rPr>
        <w:t>人员</w:t>
      </w:r>
      <w:r>
        <w:rPr>
          <w:rFonts w:ascii="宋体"/>
          <w:color w:val="auto"/>
          <w:kern w:val="0"/>
        </w:rPr>
        <w:t>行为视为乙方行为，</w:t>
      </w:r>
      <w:r>
        <w:rPr>
          <w:rFonts w:hint="eastAsia" w:ascii="宋体"/>
          <w:color w:val="auto"/>
          <w:kern w:val="0"/>
        </w:rPr>
        <w:t>乙方应承担全部责任及损失</w:t>
      </w:r>
      <w:r>
        <w:rPr>
          <w:rFonts w:ascii="宋体"/>
          <w:color w:val="auto"/>
          <w:kern w:val="0"/>
        </w:rPr>
        <w:t>。</w:t>
      </w:r>
      <w:r>
        <w:rPr>
          <w:rFonts w:hint="eastAsia" w:ascii="宋体"/>
          <w:color w:val="auto"/>
          <w:kern w:val="0"/>
        </w:rPr>
        <w:t>当客户信息不安全或客户权利受到重大不利影响时，甲方有权随时终止合同。</w:t>
      </w:r>
    </w:p>
    <w:p w14:paraId="160D6ED5">
      <w:pPr>
        <w:ind w:firstLine="420"/>
        <w:rPr>
          <w:rFonts w:ascii="宋体"/>
          <w:color w:val="auto"/>
        </w:rPr>
      </w:pPr>
    </w:p>
    <w:p w14:paraId="1C61A87D">
      <w:pPr>
        <w:ind w:firstLine="413" w:firstLineChars="196"/>
        <w:rPr>
          <w:rFonts w:ascii="宋体"/>
          <w:b/>
          <w:color w:val="auto"/>
        </w:rPr>
      </w:pPr>
      <w:bookmarkStart w:id="948" w:name="_Toc84948037"/>
      <w:r>
        <w:rPr>
          <w:rFonts w:hint="eastAsia" w:ascii="宋体"/>
          <w:b/>
          <w:color w:val="auto"/>
        </w:rPr>
        <w:t>第十三条 价格与支付</w:t>
      </w:r>
      <w:bookmarkEnd w:id="948"/>
    </w:p>
    <w:p w14:paraId="69898558">
      <w:pPr>
        <w:ind w:left="107" w:leftChars="51" w:firstLine="365" w:firstLineChars="174"/>
        <w:jc w:val="left"/>
        <w:rPr>
          <w:rStyle w:val="60"/>
          <w:rFonts w:ascii="宋体"/>
          <w:color w:val="auto"/>
          <w:kern w:val="0"/>
        </w:rPr>
      </w:pPr>
      <w:r>
        <w:rPr>
          <w:rStyle w:val="60"/>
          <w:rFonts w:hint="eastAsia" w:ascii="宋体"/>
          <w:color w:val="auto"/>
          <w:kern w:val="0"/>
        </w:rPr>
        <w:t>13.1本项目合同总金额（价税合计）为</w:t>
      </w:r>
      <w:r>
        <w:rPr>
          <w:rStyle w:val="60"/>
          <w:rFonts w:hint="eastAsia" w:ascii="宋体"/>
          <w:color w:val="auto"/>
          <w:szCs w:val="2"/>
        </w:rPr>
        <w:t>_______</w:t>
      </w:r>
      <w:r>
        <w:rPr>
          <w:rStyle w:val="60"/>
          <w:rFonts w:hint="eastAsia" w:ascii="宋体"/>
          <w:color w:val="auto"/>
          <w:szCs w:val="2"/>
          <w:u w:val="single"/>
        </w:rPr>
        <w:t>元</w:t>
      </w:r>
      <w:r>
        <w:rPr>
          <w:rStyle w:val="60"/>
          <w:rFonts w:hint="eastAsia" w:ascii="宋体"/>
          <w:color w:val="auto"/>
          <w:kern w:val="0"/>
          <w:u w:val="single"/>
        </w:rPr>
        <w:t>（大写：</w:t>
      </w:r>
      <w:r>
        <w:rPr>
          <w:rStyle w:val="60"/>
          <w:rFonts w:ascii="宋体"/>
          <w:color w:val="auto"/>
          <w:szCs w:val="2"/>
          <w:u w:val="single"/>
        </w:rPr>
        <w:t>整</w:t>
      </w:r>
      <w:r>
        <w:rPr>
          <w:rStyle w:val="60"/>
          <w:rFonts w:hint="eastAsia" w:ascii="宋体"/>
          <w:color w:val="auto"/>
          <w:kern w:val="0"/>
          <w:u w:val="single"/>
        </w:rPr>
        <w:t>）</w:t>
      </w:r>
      <w:r>
        <w:rPr>
          <w:rStyle w:val="60"/>
          <w:rFonts w:hint="eastAsia" w:ascii="宋体"/>
          <w:color w:val="auto"/>
          <w:kern w:val="0"/>
        </w:rPr>
        <w:t>，</w:t>
      </w:r>
      <w:r>
        <w:rPr>
          <w:rStyle w:val="60"/>
          <w:rFonts w:ascii="宋体"/>
          <w:color w:val="auto"/>
          <w:kern w:val="0"/>
        </w:rPr>
        <w:t>税率为13%，</w:t>
      </w:r>
      <w:r>
        <w:rPr>
          <w:rStyle w:val="60"/>
          <w:rFonts w:hint="eastAsia" w:ascii="宋体"/>
          <w:color w:val="auto"/>
          <w:szCs w:val="2"/>
        </w:rPr>
        <w:t>不含税价为：_______</w:t>
      </w:r>
      <w:r>
        <w:rPr>
          <w:rStyle w:val="60"/>
          <w:rFonts w:hint="eastAsia" w:ascii="宋体"/>
          <w:color w:val="auto"/>
          <w:szCs w:val="2"/>
          <w:u w:val="single"/>
        </w:rPr>
        <w:t>元（大写：</w:t>
      </w:r>
      <w:r>
        <w:rPr>
          <w:rStyle w:val="60"/>
          <w:rFonts w:ascii="宋体"/>
          <w:color w:val="auto"/>
          <w:szCs w:val="2"/>
          <w:u w:val="single"/>
        </w:rPr>
        <w:t>整</w:t>
      </w:r>
      <w:r>
        <w:rPr>
          <w:rStyle w:val="60"/>
          <w:rFonts w:hint="eastAsia" w:ascii="宋体"/>
          <w:color w:val="auto"/>
          <w:szCs w:val="2"/>
          <w:u w:val="single"/>
        </w:rPr>
        <w:t>）</w:t>
      </w:r>
      <w:r>
        <w:rPr>
          <w:rStyle w:val="60"/>
          <w:rFonts w:hint="eastAsia" w:ascii="宋体"/>
          <w:color w:val="auto"/>
          <w:szCs w:val="2"/>
        </w:rPr>
        <w:t>,税额为：_______</w:t>
      </w:r>
      <w:r>
        <w:rPr>
          <w:rStyle w:val="60"/>
          <w:rFonts w:hint="eastAsia" w:ascii="宋体"/>
          <w:color w:val="auto"/>
          <w:szCs w:val="2"/>
          <w:u w:val="single"/>
        </w:rPr>
        <w:t>元（大写：</w:t>
      </w:r>
      <w:r>
        <w:rPr>
          <w:rStyle w:val="60"/>
          <w:rFonts w:ascii="宋体"/>
          <w:color w:val="auto"/>
          <w:szCs w:val="2"/>
          <w:u w:val="single"/>
        </w:rPr>
        <w:t>整</w:t>
      </w:r>
      <w:r>
        <w:rPr>
          <w:rStyle w:val="60"/>
          <w:rFonts w:hint="eastAsia" w:ascii="宋体"/>
          <w:color w:val="auto"/>
          <w:szCs w:val="2"/>
          <w:u w:val="single"/>
        </w:rPr>
        <w:t>）</w:t>
      </w:r>
      <w:r>
        <w:rPr>
          <w:rStyle w:val="60"/>
          <w:rFonts w:hint="eastAsia" w:ascii="宋体"/>
          <w:color w:val="auto"/>
          <w:szCs w:val="2"/>
        </w:rPr>
        <w:t>。</w:t>
      </w:r>
      <w:r>
        <w:rPr>
          <w:rStyle w:val="60"/>
          <w:rFonts w:ascii="宋体"/>
          <w:color w:val="auto"/>
          <w:szCs w:val="2"/>
        </w:rPr>
        <w:t>其中产品金额（价税合计）为</w:t>
      </w:r>
      <w:r>
        <w:rPr>
          <w:rStyle w:val="60"/>
          <w:rFonts w:hint="eastAsia" w:ascii="宋体"/>
          <w:color w:val="auto"/>
          <w:szCs w:val="2"/>
        </w:rPr>
        <w:t>_______</w:t>
      </w:r>
      <w:r>
        <w:rPr>
          <w:rStyle w:val="60"/>
          <w:rFonts w:hint="eastAsia" w:ascii="宋体"/>
          <w:color w:val="auto"/>
          <w:szCs w:val="2"/>
          <w:u w:val="single"/>
        </w:rPr>
        <w:t>元（大写：</w:t>
      </w:r>
      <w:r>
        <w:rPr>
          <w:rStyle w:val="60"/>
          <w:rFonts w:ascii="宋体"/>
          <w:color w:val="auto"/>
          <w:szCs w:val="2"/>
          <w:u w:val="single"/>
        </w:rPr>
        <w:t>整</w:t>
      </w:r>
      <w:r>
        <w:rPr>
          <w:rStyle w:val="60"/>
          <w:rFonts w:hint="eastAsia" w:ascii="宋体"/>
          <w:color w:val="auto"/>
          <w:szCs w:val="2"/>
          <w:u w:val="single"/>
        </w:rPr>
        <w:t>）</w:t>
      </w:r>
      <w:r>
        <w:rPr>
          <w:rStyle w:val="60"/>
          <w:rFonts w:ascii="宋体"/>
          <w:color w:val="auto"/>
          <w:szCs w:val="2"/>
          <w:u w:val="single"/>
        </w:rPr>
        <w:t>，实施金额（价税合计）为</w:t>
      </w:r>
      <w:r>
        <w:rPr>
          <w:rStyle w:val="60"/>
          <w:rFonts w:hint="eastAsia" w:ascii="宋体"/>
          <w:color w:val="auto"/>
          <w:szCs w:val="2"/>
        </w:rPr>
        <w:t>_______</w:t>
      </w:r>
      <w:r>
        <w:rPr>
          <w:rStyle w:val="60"/>
          <w:rFonts w:hint="eastAsia" w:ascii="宋体"/>
          <w:color w:val="auto"/>
          <w:szCs w:val="2"/>
          <w:u w:val="single"/>
        </w:rPr>
        <w:t>元（大写：</w:t>
      </w:r>
      <w:r>
        <w:rPr>
          <w:rStyle w:val="60"/>
          <w:rFonts w:ascii="宋体"/>
          <w:color w:val="auto"/>
          <w:szCs w:val="2"/>
          <w:u w:val="single"/>
        </w:rPr>
        <w:t>整</w:t>
      </w:r>
      <w:r>
        <w:rPr>
          <w:rStyle w:val="60"/>
          <w:rFonts w:hint="eastAsia" w:ascii="宋体"/>
          <w:color w:val="auto"/>
          <w:szCs w:val="2"/>
          <w:u w:val="single"/>
        </w:rPr>
        <w:t>）</w:t>
      </w:r>
      <w:r>
        <w:rPr>
          <w:rStyle w:val="60"/>
          <w:rFonts w:ascii="宋体"/>
          <w:color w:val="auto"/>
          <w:szCs w:val="2"/>
        </w:rPr>
        <w:t>。</w:t>
      </w:r>
      <w:r>
        <w:rPr>
          <w:rStyle w:val="60"/>
          <w:rFonts w:hint="eastAsia" w:ascii="宋体"/>
          <w:color w:val="auto"/>
          <w:szCs w:val="2"/>
        </w:rPr>
        <w:t>不含税价格不因国家税率变化而变化，若在合同履行期间，如遇国家的税率调整，则价税合计应相应调整，以开具发票的时间为准。</w:t>
      </w:r>
      <w:r>
        <w:rPr>
          <w:rStyle w:val="60"/>
          <w:rFonts w:hint="eastAsia" w:ascii="宋体"/>
          <w:color w:val="auto"/>
          <w:kern w:val="0"/>
        </w:rPr>
        <w:t>该金额为本合同约定项目的全部费用，除双方另有约定外，甲方无须向乙方支付其他任何费用。</w:t>
      </w:r>
    </w:p>
    <w:p w14:paraId="5BCD7B2D">
      <w:pPr>
        <w:ind w:firstLine="420"/>
        <w:jc w:val="left"/>
        <w:rPr>
          <w:rStyle w:val="60"/>
          <w:rFonts w:ascii="宋体"/>
          <w:color w:val="auto"/>
          <w:kern w:val="0"/>
        </w:rPr>
      </w:pPr>
      <w:r>
        <w:rPr>
          <w:rStyle w:val="60"/>
          <w:rFonts w:hint="eastAsia" w:ascii="宋体"/>
          <w:color w:val="auto"/>
          <w:kern w:val="0"/>
        </w:rPr>
        <w:t>本项目产品价格（含实施</w:t>
      </w:r>
      <w:r>
        <w:rPr>
          <w:rStyle w:val="60"/>
          <w:rFonts w:ascii="宋体"/>
          <w:color w:val="auto"/>
          <w:kern w:val="0"/>
        </w:rPr>
        <w:t>金额部分</w:t>
      </w:r>
      <w:r>
        <w:rPr>
          <w:rStyle w:val="60"/>
          <w:rFonts w:hint="eastAsia" w:ascii="宋体"/>
          <w:color w:val="auto"/>
          <w:kern w:val="0"/>
        </w:rPr>
        <w:t>）如下表所示：</w:t>
      </w:r>
    </w:p>
    <w:tbl>
      <w:tblPr>
        <w:tblStyle w:val="19"/>
        <w:tblW w:w="7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1"/>
        <w:gridCol w:w="1134"/>
        <w:gridCol w:w="1276"/>
        <w:gridCol w:w="1276"/>
      </w:tblGrid>
      <w:tr w14:paraId="5484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00" w:type="dxa"/>
            <w:tcBorders>
              <w:tl2br w:val="nil"/>
              <w:tr2bl w:val="nil"/>
            </w:tcBorders>
            <w:vAlign w:val="center"/>
          </w:tcPr>
          <w:p w14:paraId="74FB5100">
            <w:pPr>
              <w:pStyle w:val="44"/>
              <w:rPr>
                <w:color w:val="auto"/>
              </w:rPr>
            </w:pPr>
            <w:r>
              <w:rPr>
                <w:color w:val="auto"/>
              </w:rPr>
              <w:t>产品名称</w:t>
            </w:r>
          </w:p>
        </w:tc>
        <w:tc>
          <w:tcPr>
            <w:tcW w:w="1701" w:type="dxa"/>
            <w:tcBorders>
              <w:tl2br w:val="nil"/>
              <w:tr2bl w:val="nil"/>
            </w:tcBorders>
            <w:vAlign w:val="center"/>
          </w:tcPr>
          <w:p w14:paraId="685F5D2A">
            <w:pPr>
              <w:pStyle w:val="44"/>
              <w:rPr>
                <w:color w:val="auto"/>
              </w:rPr>
            </w:pPr>
            <w:r>
              <w:rPr>
                <w:color w:val="auto"/>
              </w:rPr>
              <w:t>模块</w:t>
            </w:r>
          </w:p>
        </w:tc>
        <w:tc>
          <w:tcPr>
            <w:tcW w:w="1134" w:type="dxa"/>
            <w:tcBorders>
              <w:tl2br w:val="nil"/>
              <w:tr2bl w:val="nil"/>
            </w:tcBorders>
            <w:vAlign w:val="center"/>
          </w:tcPr>
          <w:p w14:paraId="2D861151">
            <w:pPr>
              <w:pStyle w:val="44"/>
              <w:rPr>
                <w:color w:val="auto"/>
              </w:rPr>
            </w:pPr>
            <w:r>
              <w:rPr>
                <w:rFonts w:hint="eastAsia"/>
                <w:color w:val="auto"/>
              </w:rPr>
              <w:t>单价（元）</w:t>
            </w:r>
          </w:p>
        </w:tc>
        <w:tc>
          <w:tcPr>
            <w:tcW w:w="1276" w:type="dxa"/>
            <w:tcBorders>
              <w:tl2br w:val="nil"/>
              <w:tr2bl w:val="nil"/>
            </w:tcBorders>
            <w:vAlign w:val="center"/>
          </w:tcPr>
          <w:p w14:paraId="0B5309F9">
            <w:pPr>
              <w:pStyle w:val="44"/>
              <w:rPr>
                <w:color w:val="auto"/>
              </w:rPr>
            </w:pPr>
            <w:r>
              <w:rPr>
                <w:rFonts w:hint="eastAsia"/>
                <w:color w:val="auto"/>
              </w:rPr>
              <w:t>数量（套）</w:t>
            </w:r>
          </w:p>
        </w:tc>
        <w:tc>
          <w:tcPr>
            <w:tcW w:w="1276" w:type="dxa"/>
            <w:tcBorders>
              <w:tl2br w:val="nil"/>
              <w:tr2bl w:val="nil"/>
            </w:tcBorders>
            <w:vAlign w:val="center"/>
          </w:tcPr>
          <w:p w14:paraId="0BB25C1E">
            <w:pPr>
              <w:pStyle w:val="44"/>
              <w:rPr>
                <w:color w:val="auto"/>
              </w:rPr>
            </w:pPr>
            <w:r>
              <w:rPr>
                <w:rFonts w:hint="eastAsia"/>
                <w:color w:val="auto"/>
              </w:rPr>
              <w:t>金额</w:t>
            </w:r>
            <w:r>
              <w:rPr>
                <w:color w:val="auto"/>
              </w:rPr>
              <w:t>小计</w:t>
            </w:r>
            <w:r>
              <w:rPr>
                <w:rFonts w:hint="eastAsia"/>
                <w:color w:val="auto"/>
              </w:rPr>
              <w:t>（元）</w:t>
            </w:r>
          </w:p>
        </w:tc>
      </w:tr>
      <w:tr w14:paraId="4554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restart"/>
            <w:tcBorders>
              <w:tl2br w:val="nil"/>
              <w:tr2bl w:val="nil"/>
            </w:tcBorders>
            <w:vAlign w:val="center"/>
          </w:tcPr>
          <w:p w14:paraId="0063278A">
            <w:pPr>
              <w:pStyle w:val="43"/>
              <w:ind w:firstLine="420"/>
              <w:rPr>
                <w:color w:val="auto"/>
              </w:rPr>
            </w:pPr>
          </w:p>
        </w:tc>
        <w:tc>
          <w:tcPr>
            <w:tcW w:w="1701" w:type="dxa"/>
            <w:tcBorders>
              <w:tl2br w:val="nil"/>
              <w:tr2bl w:val="nil"/>
            </w:tcBorders>
            <w:vAlign w:val="center"/>
          </w:tcPr>
          <w:p w14:paraId="76F0942C">
            <w:pPr>
              <w:pStyle w:val="43"/>
              <w:ind w:firstLine="420"/>
              <w:rPr>
                <w:color w:val="auto"/>
              </w:rPr>
            </w:pPr>
          </w:p>
        </w:tc>
        <w:tc>
          <w:tcPr>
            <w:tcW w:w="1134" w:type="dxa"/>
            <w:tcBorders>
              <w:tl2br w:val="nil"/>
              <w:tr2bl w:val="nil"/>
            </w:tcBorders>
            <w:vAlign w:val="center"/>
          </w:tcPr>
          <w:p w14:paraId="0671614A">
            <w:pPr>
              <w:pStyle w:val="43"/>
              <w:ind w:firstLine="420"/>
              <w:rPr>
                <w:color w:val="auto"/>
              </w:rPr>
            </w:pPr>
          </w:p>
        </w:tc>
        <w:tc>
          <w:tcPr>
            <w:tcW w:w="1276" w:type="dxa"/>
            <w:tcBorders>
              <w:tl2br w:val="nil"/>
              <w:tr2bl w:val="nil"/>
            </w:tcBorders>
            <w:vAlign w:val="center"/>
          </w:tcPr>
          <w:p w14:paraId="46ADF4C7">
            <w:pPr>
              <w:pStyle w:val="43"/>
              <w:ind w:firstLine="420"/>
              <w:rPr>
                <w:color w:val="auto"/>
              </w:rPr>
            </w:pPr>
          </w:p>
        </w:tc>
        <w:tc>
          <w:tcPr>
            <w:tcW w:w="1276" w:type="dxa"/>
            <w:tcBorders>
              <w:tl2br w:val="nil"/>
              <w:tr2bl w:val="nil"/>
            </w:tcBorders>
            <w:vAlign w:val="center"/>
          </w:tcPr>
          <w:p w14:paraId="1A94462B">
            <w:pPr>
              <w:pStyle w:val="43"/>
              <w:ind w:firstLine="420"/>
              <w:rPr>
                <w:color w:val="auto"/>
              </w:rPr>
            </w:pPr>
          </w:p>
        </w:tc>
      </w:tr>
      <w:tr w14:paraId="50B0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vMerge w:val="continue"/>
            <w:tcBorders>
              <w:tl2br w:val="nil"/>
              <w:tr2bl w:val="nil"/>
            </w:tcBorders>
            <w:vAlign w:val="center"/>
          </w:tcPr>
          <w:p w14:paraId="5C398E1C">
            <w:pPr>
              <w:pStyle w:val="43"/>
              <w:ind w:firstLine="420"/>
              <w:rPr>
                <w:color w:val="auto"/>
              </w:rPr>
            </w:pPr>
          </w:p>
        </w:tc>
        <w:tc>
          <w:tcPr>
            <w:tcW w:w="1701" w:type="dxa"/>
            <w:tcBorders>
              <w:tl2br w:val="nil"/>
              <w:tr2bl w:val="nil"/>
            </w:tcBorders>
            <w:vAlign w:val="center"/>
          </w:tcPr>
          <w:p w14:paraId="270DB14C">
            <w:pPr>
              <w:pStyle w:val="43"/>
              <w:ind w:firstLine="420"/>
              <w:rPr>
                <w:color w:val="auto"/>
              </w:rPr>
            </w:pPr>
          </w:p>
        </w:tc>
        <w:tc>
          <w:tcPr>
            <w:tcW w:w="1134" w:type="dxa"/>
            <w:tcBorders>
              <w:tl2br w:val="nil"/>
              <w:tr2bl w:val="nil"/>
            </w:tcBorders>
            <w:vAlign w:val="center"/>
          </w:tcPr>
          <w:p w14:paraId="53578461">
            <w:pPr>
              <w:pStyle w:val="43"/>
              <w:ind w:firstLine="420"/>
              <w:rPr>
                <w:color w:val="auto"/>
              </w:rPr>
            </w:pPr>
          </w:p>
        </w:tc>
        <w:tc>
          <w:tcPr>
            <w:tcW w:w="1276" w:type="dxa"/>
            <w:tcBorders>
              <w:tl2br w:val="nil"/>
              <w:tr2bl w:val="nil"/>
            </w:tcBorders>
            <w:vAlign w:val="center"/>
          </w:tcPr>
          <w:p w14:paraId="5F7E59EC">
            <w:pPr>
              <w:pStyle w:val="43"/>
              <w:ind w:firstLine="420"/>
              <w:rPr>
                <w:color w:val="auto"/>
              </w:rPr>
            </w:pPr>
          </w:p>
        </w:tc>
        <w:tc>
          <w:tcPr>
            <w:tcW w:w="1276" w:type="dxa"/>
            <w:tcBorders>
              <w:tl2br w:val="nil"/>
              <w:tr2bl w:val="nil"/>
            </w:tcBorders>
            <w:vAlign w:val="center"/>
          </w:tcPr>
          <w:p w14:paraId="0D4CA707">
            <w:pPr>
              <w:pStyle w:val="43"/>
              <w:ind w:firstLine="420"/>
              <w:rPr>
                <w:color w:val="auto"/>
              </w:rPr>
            </w:pPr>
          </w:p>
        </w:tc>
      </w:tr>
      <w:tr w14:paraId="100B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1700" w:type="dxa"/>
            <w:tcBorders>
              <w:tl2br w:val="nil"/>
              <w:tr2bl w:val="nil"/>
            </w:tcBorders>
            <w:vAlign w:val="center"/>
          </w:tcPr>
          <w:p w14:paraId="1A7C76B3">
            <w:pPr>
              <w:pStyle w:val="43"/>
              <w:ind w:firstLine="420"/>
              <w:rPr>
                <w:color w:val="auto"/>
              </w:rPr>
            </w:pPr>
            <w:r>
              <w:rPr>
                <w:color w:val="auto"/>
              </w:rPr>
              <w:t>合计</w:t>
            </w:r>
            <w:r>
              <w:rPr>
                <w:rFonts w:hint="eastAsia"/>
                <w:color w:val="auto"/>
              </w:rPr>
              <w:t>（含税）</w:t>
            </w:r>
          </w:p>
        </w:tc>
        <w:tc>
          <w:tcPr>
            <w:tcW w:w="5387" w:type="dxa"/>
            <w:gridSpan w:val="4"/>
            <w:tcBorders>
              <w:tl2br w:val="nil"/>
              <w:tr2bl w:val="nil"/>
            </w:tcBorders>
            <w:vAlign w:val="center"/>
          </w:tcPr>
          <w:p w14:paraId="33E26A0D">
            <w:pPr>
              <w:pStyle w:val="43"/>
              <w:ind w:firstLine="420"/>
              <w:rPr>
                <w:color w:val="auto"/>
              </w:rPr>
            </w:pPr>
            <w:r>
              <w:rPr>
                <w:rFonts w:hint="eastAsia"/>
                <w:color w:val="auto"/>
              </w:rPr>
              <w:t>大写（人民币）：元整</w:t>
            </w:r>
          </w:p>
        </w:tc>
      </w:tr>
    </w:tbl>
    <w:p w14:paraId="18624F12">
      <w:pPr>
        <w:ind w:firstLine="420"/>
        <w:jc w:val="left"/>
        <w:rPr>
          <w:rStyle w:val="60"/>
          <w:rFonts w:ascii="宋体"/>
          <w:color w:val="auto"/>
          <w:kern w:val="0"/>
        </w:rPr>
      </w:pPr>
    </w:p>
    <w:p w14:paraId="0E802921">
      <w:pPr>
        <w:ind w:firstLine="420"/>
        <w:rPr>
          <w:rFonts w:ascii="宋体"/>
          <w:color w:val="auto"/>
        </w:rPr>
      </w:pPr>
      <w:r>
        <w:rPr>
          <w:rFonts w:hint="eastAsia" w:ascii="宋体"/>
          <w:color w:val="auto"/>
        </w:rPr>
        <w:t>13.2支付方式：</w:t>
      </w:r>
    </w:p>
    <w:p w14:paraId="65B68451">
      <w:pPr>
        <w:ind w:firstLine="420"/>
        <w:rPr>
          <w:rFonts w:ascii="宋体"/>
          <w:color w:val="auto"/>
        </w:rPr>
      </w:pPr>
      <w:r>
        <w:rPr>
          <w:rFonts w:hint="eastAsia" w:ascii="宋体"/>
          <w:color w:val="auto"/>
        </w:rPr>
        <w:t>本合同款项采用分期付款：</w:t>
      </w:r>
    </w:p>
    <w:p w14:paraId="25FF1382">
      <w:pPr>
        <w:ind w:firstLine="420"/>
        <w:rPr>
          <w:rFonts w:ascii="宋体"/>
          <w:color w:val="auto"/>
        </w:rPr>
      </w:pPr>
      <w:r>
        <w:rPr>
          <w:rFonts w:hint="eastAsia" w:ascii="宋体"/>
          <w:color w:val="auto"/>
        </w:rPr>
        <w:t>13.2.1项目安装、调试并投入试运行后30个工作日内,乙方向甲方提供合法足额的增值税专用发票，甲方向乙方支付合同总额的60％，即元（大写：</w:t>
      </w:r>
      <w:r>
        <w:rPr>
          <w:rFonts w:hint="eastAsia" w:ascii="宋体"/>
          <w:color w:val="auto"/>
          <w:u w:val="single"/>
        </w:rPr>
        <w:t xml:space="preserve">元整 </w:t>
      </w:r>
      <w:r>
        <w:rPr>
          <w:rFonts w:hint="eastAsia" w:ascii="宋体"/>
          <w:color w:val="auto"/>
        </w:rPr>
        <w:t>）。</w:t>
      </w:r>
    </w:p>
    <w:p w14:paraId="459C3446">
      <w:pPr>
        <w:ind w:firstLine="420"/>
        <w:rPr>
          <w:rFonts w:ascii="宋体"/>
          <w:color w:val="auto"/>
        </w:rPr>
      </w:pPr>
      <w:r>
        <w:rPr>
          <w:rFonts w:hint="eastAsia" w:ascii="宋体"/>
          <w:color w:val="auto"/>
        </w:rPr>
        <w:t>13.2.2项目正式验收合格后30个工作日内, 甲方依据附件五《服务水平协议（SLA）》对乙方服务质量作出评价，评价合格后，乙方向甲方提供合法足额的增值税专用发票，甲方向乙方支付合同总价的30％</w:t>
      </w:r>
      <w:r>
        <w:rPr>
          <w:rFonts w:hint="eastAsia" w:ascii="宋体"/>
          <w:color w:val="auto"/>
          <w:kern w:val="0"/>
        </w:rPr>
        <w:t>，</w:t>
      </w:r>
      <w:r>
        <w:rPr>
          <w:rFonts w:hint="eastAsia" w:ascii="宋体"/>
          <w:color w:val="auto"/>
        </w:rPr>
        <w:t>即元（大写：</w:t>
      </w:r>
      <w:r>
        <w:rPr>
          <w:rFonts w:hint="eastAsia" w:ascii="宋体"/>
          <w:color w:val="auto"/>
          <w:u w:val="single"/>
        </w:rPr>
        <w:t xml:space="preserve">          元整 </w:t>
      </w:r>
      <w:r>
        <w:rPr>
          <w:rFonts w:hint="eastAsia" w:ascii="宋体"/>
          <w:color w:val="auto"/>
        </w:rPr>
        <w:t>），否则按《服务水平协议（SLA）》进行相应金额扣除。</w:t>
      </w:r>
    </w:p>
    <w:p w14:paraId="148E374D">
      <w:pPr>
        <w:ind w:firstLine="420"/>
        <w:rPr>
          <w:rFonts w:ascii="宋体"/>
          <w:color w:val="auto"/>
        </w:rPr>
      </w:pPr>
      <w:r>
        <w:rPr>
          <w:rFonts w:hint="eastAsia" w:ascii="宋体"/>
          <w:color w:val="auto"/>
        </w:rPr>
        <w:t>13.2.3本合同</w:t>
      </w:r>
      <w:r>
        <w:rPr>
          <w:rFonts w:ascii="宋体"/>
          <w:color w:val="auto"/>
        </w:rPr>
        <w:t>第</w:t>
      </w:r>
      <w:r>
        <w:rPr>
          <w:rFonts w:hint="eastAsia" w:ascii="宋体"/>
          <w:color w:val="auto"/>
        </w:rPr>
        <w:t>6.1条</w:t>
      </w:r>
      <w:r>
        <w:rPr>
          <w:rFonts w:ascii="宋体"/>
          <w:color w:val="auto"/>
        </w:rPr>
        <w:t>约定的</w:t>
      </w:r>
      <w:r>
        <w:rPr>
          <w:rFonts w:hint="eastAsia" w:ascii="宋体"/>
          <w:color w:val="auto"/>
        </w:rPr>
        <w:t>维护到期后30个工作日内，甲方依据附件五《服务水平协议（SLA）》对乙方服务质量作出评价，评价合格后，乙方向甲方提供合法足额的增值税专用发票，甲方向乙方支付合同总额的全部余款，即元（大写：</w:t>
      </w:r>
      <w:r>
        <w:rPr>
          <w:rFonts w:hint="eastAsia" w:ascii="宋体"/>
          <w:color w:val="auto"/>
          <w:u w:val="single"/>
        </w:rPr>
        <w:t xml:space="preserve">      元整 </w:t>
      </w:r>
      <w:r>
        <w:rPr>
          <w:rFonts w:hint="eastAsia" w:ascii="宋体"/>
          <w:color w:val="auto"/>
        </w:rPr>
        <w:t>），否则按《服务水平协议（SLA）》进行相应金额扣除（13.2.2中已扣除部分，本条不重复扣减）。</w:t>
      </w:r>
    </w:p>
    <w:p w14:paraId="2EEC3E98">
      <w:pPr>
        <w:ind w:firstLine="420"/>
        <w:rPr>
          <w:rFonts w:ascii="宋体"/>
          <w:color w:val="auto"/>
        </w:rPr>
      </w:pPr>
      <w:r>
        <w:rPr>
          <w:rFonts w:hint="eastAsia" w:ascii="宋体"/>
          <w:color w:val="auto"/>
        </w:rPr>
        <w:t>13.3发票要求：</w:t>
      </w:r>
    </w:p>
    <w:p w14:paraId="382A1AD8">
      <w:pPr>
        <w:ind w:firstLine="420"/>
        <w:rPr>
          <w:rFonts w:ascii="宋体"/>
          <w:color w:val="auto"/>
        </w:rPr>
      </w:pPr>
      <w:r>
        <w:rPr>
          <w:rFonts w:hint="eastAsia" w:ascii="宋体"/>
          <w:color w:val="auto"/>
        </w:rPr>
        <w:t>乙方须严格按照合同内容开具税率为</w:t>
      </w:r>
      <w:r>
        <w:rPr>
          <w:rFonts w:ascii="宋体"/>
          <w:color w:val="auto"/>
          <w:u w:val="single"/>
        </w:rPr>
        <w:t>13%</w:t>
      </w:r>
      <w:r>
        <w:rPr>
          <w:rFonts w:hint="eastAsia" w:ascii="宋体"/>
          <w:color w:val="auto"/>
        </w:rPr>
        <w:t>的增值税专用发票（若遇国家税率调整另议），乙方在甲方每次付款前</w:t>
      </w:r>
      <w:r>
        <w:rPr>
          <w:rFonts w:ascii="宋体"/>
          <w:color w:val="auto"/>
        </w:rPr>
        <w:t>30</w:t>
      </w:r>
      <w:r>
        <w:rPr>
          <w:rFonts w:hint="eastAsia" w:ascii="宋体"/>
          <w:color w:val="auto"/>
        </w:rPr>
        <w:t>个工作日需向甲方交付合法足额发票，否则甲方有权拒绝支付任何费用且不承担逾期付款违约责任。</w:t>
      </w:r>
    </w:p>
    <w:p w14:paraId="4254B134">
      <w:pPr>
        <w:ind w:firstLine="420"/>
        <w:rPr>
          <w:rFonts w:ascii="宋体"/>
          <w:color w:val="auto"/>
        </w:rPr>
      </w:pPr>
    </w:p>
    <w:p w14:paraId="461EDE79">
      <w:pPr>
        <w:ind w:firstLine="413" w:firstLineChars="196"/>
        <w:rPr>
          <w:rFonts w:ascii="宋体"/>
          <w:b/>
          <w:color w:val="auto"/>
        </w:rPr>
      </w:pPr>
      <w:bookmarkStart w:id="949" w:name="_Toc84948038"/>
      <w:r>
        <w:rPr>
          <w:rFonts w:hint="eastAsia" w:ascii="宋体"/>
          <w:b/>
          <w:color w:val="auto"/>
        </w:rPr>
        <w:t>第十四条 风险责任的承担</w:t>
      </w:r>
      <w:bookmarkEnd w:id="949"/>
    </w:p>
    <w:p w14:paraId="2949A5D8">
      <w:pPr>
        <w:tabs>
          <w:tab w:val="left" w:pos="6020"/>
        </w:tabs>
        <w:ind w:firstLine="420"/>
        <w:rPr>
          <w:rFonts w:ascii="宋体"/>
          <w:color w:val="auto"/>
        </w:rPr>
      </w:pPr>
      <w:r>
        <w:rPr>
          <w:rFonts w:hint="eastAsia" w:ascii="宋体"/>
          <w:color w:val="auto"/>
        </w:rPr>
        <w:t>14.1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14:paraId="096C19CD">
      <w:pPr>
        <w:tabs>
          <w:tab w:val="left" w:pos="6020"/>
        </w:tabs>
        <w:ind w:firstLine="420"/>
        <w:rPr>
          <w:rStyle w:val="60"/>
          <w:rFonts w:ascii="宋体"/>
          <w:color w:val="auto"/>
          <w:kern w:val="0"/>
        </w:rPr>
      </w:pPr>
      <w:r>
        <w:rPr>
          <w:rStyle w:val="60"/>
          <w:rFonts w:hint="eastAsia" w:ascii="宋体"/>
          <w:color w:val="auto"/>
          <w:kern w:val="0"/>
        </w:rPr>
        <w:t>14.2乙方发现可能导致实施项目失败或者部分失败的情况时，应当及时通知甲方并采取适当措施减少损失；乙方没有及时通知甲方并采取适当措施致使损失扩大的，应当就扩大的损失承担责任。</w:t>
      </w:r>
    </w:p>
    <w:p w14:paraId="13268825">
      <w:pPr>
        <w:tabs>
          <w:tab w:val="left" w:pos="6020"/>
        </w:tabs>
        <w:ind w:firstLine="420"/>
        <w:rPr>
          <w:rStyle w:val="60"/>
          <w:rFonts w:ascii="宋体"/>
          <w:color w:val="auto"/>
          <w:kern w:val="0"/>
        </w:rPr>
      </w:pPr>
      <w:r>
        <w:rPr>
          <w:rStyle w:val="60"/>
          <w:rFonts w:hint="eastAsia" w:ascii="宋体"/>
          <w:color w:val="auto"/>
          <w:kern w:val="0"/>
        </w:rPr>
        <w:t>14.3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14:paraId="4841AF89">
      <w:pPr>
        <w:tabs>
          <w:tab w:val="left" w:pos="6020"/>
        </w:tabs>
        <w:ind w:firstLine="420"/>
        <w:rPr>
          <w:rFonts w:ascii="宋体"/>
          <w:color w:val="auto"/>
        </w:rPr>
      </w:pPr>
    </w:p>
    <w:p w14:paraId="1AF7E82C">
      <w:pPr>
        <w:ind w:firstLine="413" w:firstLineChars="196"/>
        <w:rPr>
          <w:rFonts w:ascii="宋体"/>
          <w:b/>
          <w:color w:val="auto"/>
        </w:rPr>
      </w:pPr>
      <w:bookmarkStart w:id="950" w:name="_Toc84948039"/>
      <w:r>
        <w:rPr>
          <w:rFonts w:hint="eastAsia" w:ascii="宋体"/>
          <w:b/>
          <w:color w:val="auto"/>
        </w:rPr>
        <w:t>第十五条</w:t>
      </w:r>
      <w:bookmarkStart w:id="951" w:name="_Toc58337511"/>
      <w:r>
        <w:rPr>
          <w:rFonts w:hint="eastAsia" w:ascii="宋体"/>
          <w:b/>
          <w:color w:val="auto"/>
        </w:rPr>
        <w:t xml:space="preserve"> 违约与赔偿</w:t>
      </w:r>
      <w:bookmarkEnd w:id="950"/>
      <w:bookmarkEnd w:id="951"/>
    </w:p>
    <w:p w14:paraId="3392ABD0">
      <w:pPr>
        <w:ind w:firstLine="420"/>
        <w:rPr>
          <w:rFonts w:ascii="宋体"/>
          <w:color w:val="auto"/>
        </w:rPr>
      </w:pPr>
      <w:r>
        <w:rPr>
          <w:rFonts w:hint="eastAsia" w:ascii="宋体"/>
          <w:color w:val="auto"/>
        </w:rPr>
        <w:t>15.1因甲方原因未按本合同规定支付第一期款项</w:t>
      </w:r>
      <w:r>
        <w:rPr>
          <w:rFonts w:ascii="宋体"/>
          <w:color w:val="auto"/>
        </w:rPr>
        <w:t>，且经乙方合理催告后，仍无正当理由并逾期支付达【</w:t>
      </w:r>
      <w:r>
        <w:rPr>
          <w:rFonts w:hint="eastAsia" w:ascii="宋体"/>
          <w:color w:val="auto"/>
        </w:rPr>
        <w:t>30</w:t>
      </w:r>
      <w:r>
        <w:rPr>
          <w:rFonts w:ascii="宋体"/>
          <w:color w:val="auto"/>
        </w:rPr>
        <w:t>】</w:t>
      </w:r>
      <w:r>
        <w:rPr>
          <w:rFonts w:hint="eastAsia" w:ascii="宋体"/>
          <w:color w:val="auto"/>
        </w:rPr>
        <w:t>个工作</w:t>
      </w:r>
      <w:r>
        <w:rPr>
          <w:rFonts w:ascii="宋体"/>
          <w:color w:val="auto"/>
        </w:rPr>
        <w:t>日以上的</w:t>
      </w:r>
      <w:r>
        <w:rPr>
          <w:rFonts w:hint="eastAsia" w:ascii="宋体"/>
          <w:color w:val="auto"/>
        </w:rPr>
        <w:t>，乙方有权解除合同。</w:t>
      </w:r>
    </w:p>
    <w:p w14:paraId="1CD61D83">
      <w:pPr>
        <w:ind w:firstLine="420"/>
        <w:rPr>
          <w:rFonts w:ascii="宋体"/>
          <w:color w:val="auto"/>
        </w:rPr>
      </w:pPr>
      <w:r>
        <w:rPr>
          <w:rFonts w:hint="eastAsia" w:ascii="宋体"/>
          <w:color w:val="auto"/>
        </w:rPr>
        <w:t>15.2因甲方原因逾期支付第二期或第三期款项的，自逾期一个月后的第二天起，每逾期一天支付应付逾期付款金额的万分之五的违约金，违约金总额不超过应付款额的20%。</w:t>
      </w:r>
    </w:p>
    <w:p w14:paraId="5D36E0FD">
      <w:pPr>
        <w:ind w:firstLine="420"/>
        <w:rPr>
          <w:rFonts w:ascii="宋体"/>
          <w:color w:val="auto"/>
        </w:rPr>
      </w:pPr>
      <w:r>
        <w:rPr>
          <w:rFonts w:hint="eastAsia" w:ascii="宋体"/>
          <w:color w:val="auto"/>
        </w:rPr>
        <w:t>15.3乙方未按计划或不实施研究开发工作，甲方有权要求乙方实施研究开发计划并采取补救措施。如乙方逾期一个月仍未按计划或不实施研究开发工作，甲方有权解除本合同，并且乙方应在10个工作日内返还所有甲方提供的报酬，返还或销毁甲方提供的有关技术资料和文件，并承担本合同总额20%的违约金。</w:t>
      </w:r>
    </w:p>
    <w:p w14:paraId="1D621ECE">
      <w:pPr>
        <w:ind w:firstLine="420"/>
        <w:rPr>
          <w:rFonts w:ascii="宋体"/>
          <w:color w:val="auto"/>
        </w:rPr>
      </w:pPr>
      <w:r>
        <w:rPr>
          <w:rFonts w:hint="eastAsia" w:ascii="宋体"/>
          <w:color w:val="auto"/>
        </w:rPr>
        <w:t>15.4乙方应按本合同规定的研究开发进程完成开发项目。若因乙方自身原因未按时完成开发项目，则按照附件五《服务水平协议（SLA）》扣除延期违约金。</w:t>
      </w:r>
    </w:p>
    <w:p w14:paraId="584496F5">
      <w:pPr>
        <w:ind w:firstLine="420"/>
        <w:rPr>
          <w:rFonts w:ascii="宋体"/>
          <w:color w:val="auto"/>
        </w:rPr>
      </w:pPr>
      <w:r>
        <w:rPr>
          <w:rFonts w:hint="eastAsia" w:ascii="宋体"/>
          <w:color w:val="auto"/>
        </w:rPr>
        <w:t>15.5乙方未能完成甲方委托的开发项目或开发成果不符合本合同约定的要求，乙方承担本合同总额20%的违约金，并返还甲方已支付的费用。</w:t>
      </w:r>
    </w:p>
    <w:p w14:paraId="5A6011D7">
      <w:pPr>
        <w:ind w:firstLine="420"/>
        <w:rPr>
          <w:rFonts w:ascii="宋体"/>
          <w:color w:val="auto"/>
        </w:rPr>
      </w:pPr>
      <w:r>
        <w:rPr>
          <w:rFonts w:hint="eastAsia" w:ascii="宋体"/>
          <w:color w:val="auto"/>
        </w:rPr>
        <w:t>15.6乙方将甲方支付的费用于履行合同以外的目的，甲方有权制止并要求其纠正。如因此造成本合同项目停滞、延误或失败的，乙方应当承担给甲方造成的损失赔偿责任。</w:t>
      </w:r>
    </w:p>
    <w:p w14:paraId="329940F8">
      <w:pPr>
        <w:ind w:firstLine="420"/>
        <w:rPr>
          <w:rFonts w:ascii="宋体"/>
          <w:color w:val="auto"/>
        </w:rPr>
      </w:pPr>
      <w:r>
        <w:rPr>
          <w:rFonts w:hint="eastAsia" w:ascii="宋体"/>
          <w:color w:val="auto"/>
        </w:rPr>
        <w:t>15.7除本条、附件五《服务水平协议（SLA）》及</w:t>
      </w:r>
      <w:r>
        <w:rPr>
          <w:rFonts w:ascii="宋体"/>
          <w:color w:val="auto"/>
        </w:rPr>
        <w:t>其他条款</w:t>
      </w:r>
      <w:r>
        <w:rPr>
          <w:rFonts w:hint="eastAsia" w:ascii="宋体"/>
          <w:color w:val="auto"/>
        </w:rPr>
        <w:t>另有约定外，乙方违反本合同任一条款的，应向甲方支付合同总额</w:t>
      </w:r>
      <w:r>
        <w:rPr>
          <w:rFonts w:ascii="宋体"/>
          <w:color w:val="auto"/>
        </w:rPr>
        <w:t>5</w:t>
      </w:r>
      <w:r>
        <w:rPr>
          <w:rFonts w:hint="eastAsia" w:ascii="宋体"/>
          <w:color w:val="auto"/>
        </w:rPr>
        <w:t>%的违约金并赔偿甲方产生的损失。</w:t>
      </w:r>
    </w:p>
    <w:p w14:paraId="3C5E3818">
      <w:pPr>
        <w:ind w:firstLine="420"/>
        <w:rPr>
          <w:rFonts w:ascii="宋体"/>
          <w:color w:val="auto"/>
        </w:rPr>
      </w:pPr>
      <w:r>
        <w:rPr>
          <w:rFonts w:hint="eastAsia" w:ascii="宋体"/>
          <w:color w:val="auto"/>
        </w:rPr>
        <w:t>15.8本合同项下乙方应支付的违约金、赔偿金等，甲方均有权从应支付给乙方的款项中优先扣除，若有不足，乙方应另行筹措资金补足。</w:t>
      </w:r>
    </w:p>
    <w:p w14:paraId="059ACDEF">
      <w:pPr>
        <w:ind w:firstLine="420"/>
        <w:rPr>
          <w:rFonts w:ascii="宋体"/>
          <w:color w:val="auto"/>
        </w:rPr>
      </w:pPr>
    </w:p>
    <w:p w14:paraId="1EDAFBCE">
      <w:pPr>
        <w:ind w:firstLine="413" w:firstLineChars="196"/>
        <w:rPr>
          <w:rFonts w:ascii="宋体"/>
          <w:b/>
          <w:color w:val="auto"/>
        </w:rPr>
      </w:pPr>
      <w:bookmarkStart w:id="952" w:name="_Toc84948040"/>
      <w:r>
        <w:rPr>
          <w:rFonts w:hint="eastAsia" w:ascii="宋体"/>
          <w:b/>
          <w:color w:val="auto"/>
        </w:rPr>
        <w:t>第十六条 合同的解除</w:t>
      </w:r>
      <w:bookmarkEnd w:id="952"/>
    </w:p>
    <w:p w14:paraId="51FAC73B">
      <w:pPr>
        <w:ind w:firstLine="420"/>
        <w:rPr>
          <w:rFonts w:ascii="宋体"/>
          <w:color w:val="auto"/>
        </w:rPr>
      </w:pPr>
      <w:r>
        <w:rPr>
          <w:rFonts w:hint="eastAsia" w:ascii="宋体"/>
          <w:color w:val="auto"/>
        </w:rPr>
        <w:t>16.1如果满足以下条件，任一方在通知对方后，都可以解除本合同。</w:t>
      </w:r>
    </w:p>
    <w:p w14:paraId="1CBA0185">
      <w:pPr>
        <w:ind w:firstLine="420"/>
        <w:rPr>
          <w:rFonts w:ascii="宋体"/>
          <w:color w:val="auto"/>
        </w:rPr>
      </w:pPr>
      <w:r>
        <w:rPr>
          <w:rFonts w:hint="eastAsia" w:ascii="宋体"/>
          <w:color w:val="auto"/>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14:paraId="26D9120D">
      <w:pPr>
        <w:ind w:firstLine="420"/>
        <w:rPr>
          <w:rFonts w:ascii="宋体"/>
          <w:color w:val="auto"/>
        </w:rPr>
      </w:pPr>
      <w:r>
        <w:rPr>
          <w:rFonts w:ascii="宋体"/>
          <w:color w:val="auto"/>
        </w:rPr>
        <mc:AlternateContent>
          <mc:Choice Requires="wps">
            <w:drawing>
              <wp:anchor distT="0" distB="0" distL="113030" distR="113030" simplePos="0" relativeHeight="251663360" behindDoc="0" locked="0" layoutInCell="1" allowOverlap="1">
                <wp:simplePos x="0" y="0"/>
                <wp:positionH relativeFrom="column">
                  <wp:posOffset>-125730</wp:posOffset>
                </wp:positionH>
                <wp:positionV relativeFrom="paragraph">
                  <wp:posOffset>125730</wp:posOffset>
                </wp:positionV>
                <wp:extent cx="63500" cy="63500"/>
                <wp:effectExtent l="4444" t="4444" r="8255" b="8255"/>
                <wp:wrapNone/>
                <wp:docPr id="2" name="矩形 1" descr="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title="图片 2"/>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rect id="矩形 1" o:spid="_x0000_s1026" o:spt="1" alt="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" style="position:absolute;left:0pt;margin-left:-9.9pt;margin-top:9.9pt;height:5pt;width:5pt;z-index:251663360;mso-width-relative:page;mso-height-relative:page;" fillcolor="#FFFFFF" filled="t" stroked="t" coordsize="21600,21600" o:gfxdata="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">
                <v:fill on="t" focussize="0,0"/>
                <v:stroke color="#000000" joinstyle="miter"/>
                <v:imagedata o:title=""/>
                <o:lock v:ext="edit" aspectratio="f"/>
              </v:rect>
            </w:pict>
          </mc:Fallback>
        </mc:AlternateContent>
      </w:r>
      <w:r>
        <w:rPr>
          <w:rFonts w:hint="eastAsia" w:ascii="宋体"/>
          <w:color w:val="auto"/>
        </w:rPr>
        <w:t>（2）当一方按正常程序停止经营业务、破产、处于付款拖欠、延期偿付、公司重组或倒闭状况，或全部转让利润与债权人、书面承认无力偿还到期债务、委派清算人清算其业务或财产。</w:t>
      </w:r>
    </w:p>
    <w:p w14:paraId="7096422E">
      <w:pPr>
        <w:ind w:firstLine="420"/>
        <w:rPr>
          <w:rFonts w:ascii="宋体"/>
          <w:color w:val="auto"/>
        </w:rPr>
      </w:pPr>
      <w:r>
        <w:rPr>
          <w:rFonts w:hint="eastAsia" w:ascii="宋体"/>
          <w:color w:val="auto"/>
        </w:rPr>
        <w:t>16.2除本合同约定的情形外，甲方若认为乙方无法胜任本合同项下工作的，有权随时通知乙方后解除本合同。甲方除据实与乙方结算费用外，不承担其他违约责任。</w:t>
      </w:r>
    </w:p>
    <w:p w14:paraId="4F75C729">
      <w:pPr>
        <w:ind w:firstLine="420"/>
        <w:rPr>
          <w:rFonts w:ascii="宋体"/>
          <w:color w:val="auto"/>
        </w:rPr>
      </w:pPr>
      <w:r>
        <w:rPr>
          <w:rFonts w:hint="eastAsia" w:ascii="宋体"/>
          <w:color w:val="auto"/>
        </w:rPr>
        <w:t>16.3当本合同以任何原因解除</w:t>
      </w:r>
      <w:r>
        <w:rPr>
          <w:rFonts w:ascii="宋体"/>
          <w:color w:val="auto"/>
        </w:rPr>
        <w:t>或</w:t>
      </w:r>
      <w:r>
        <w:rPr>
          <w:rFonts w:hint="eastAsia" w:ascii="宋体"/>
          <w:color w:val="auto"/>
        </w:rPr>
        <w:t>终止时，乙方应将本合同项下的过程文档、资料等全部交付给甲方，配合甲方完成知识转移，保证甲方能够继续开展工作；乙方应立即停止使用并删除</w:t>
      </w:r>
      <w:r>
        <w:rPr>
          <w:rFonts w:ascii="宋体"/>
          <w:color w:val="auto"/>
        </w:rPr>
        <w:t>或</w:t>
      </w:r>
      <w:r>
        <w:rPr>
          <w:rFonts w:hint="eastAsia" w:ascii="宋体"/>
          <w:color w:val="auto"/>
        </w:rPr>
        <w:t>销毁包含甲方机密信息的所有物件，并证明该销毁情况；或者将这些物件归还给甲方。</w:t>
      </w:r>
    </w:p>
    <w:p w14:paraId="746651D3">
      <w:pPr>
        <w:ind w:firstLine="422"/>
        <w:rPr>
          <w:rFonts w:ascii="宋体"/>
          <w:b/>
          <w:color w:val="auto"/>
        </w:rPr>
      </w:pPr>
    </w:p>
    <w:p w14:paraId="145DF501">
      <w:pPr>
        <w:ind w:firstLine="413" w:firstLineChars="196"/>
        <w:rPr>
          <w:rFonts w:ascii="宋体"/>
          <w:b/>
          <w:color w:val="auto"/>
        </w:rPr>
      </w:pPr>
      <w:bookmarkStart w:id="953" w:name="_Toc84948041"/>
      <w:r>
        <w:rPr>
          <w:rFonts w:hint="eastAsia" w:ascii="宋体"/>
          <w:b/>
          <w:color w:val="auto"/>
        </w:rPr>
        <w:t>第十七条 合同变更及转让</w:t>
      </w:r>
      <w:bookmarkEnd w:id="953"/>
    </w:p>
    <w:p w14:paraId="738CE9D2">
      <w:pPr>
        <w:ind w:firstLine="420"/>
        <w:rPr>
          <w:rFonts w:ascii="宋体"/>
          <w:color w:val="auto"/>
        </w:rPr>
      </w:pPr>
      <w:r>
        <w:rPr>
          <w:rFonts w:hint="eastAsia" w:ascii="宋体"/>
          <w:color w:val="auto"/>
        </w:rPr>
        <w:t>17.1对本合同及其附件的内容进行变更，必须经双方协商一致并签订补充协议，方能生效，本合同另有约定的除外。</w:t>
      </w:r>
    </w:p>
    <w:p w14:paraId="7FF321E9">
      <w:pPr>
        <w:ind w:firstLine="420"/>
        <w:rPr>
          <w:rFonts w:ascii="宋体"/>
          <w:color w:val="auto"/>
        </w:rPr>
      </w:pPr>
      <w:r>
        <w:rPr>
          <w:rFonts w:hint="eastAsia" w:ascii="宋体"/>
          <w:color w:val="auto"/>
        </w:rPr>
        <w:t>17.2本合同双方在未取得对方事先书面同意的前提下，均不得将各自本合同项下的任何权利或义务转让给第三方。</w:t>
      </w:r>
    </w:p>
    <w:p w14:paraId="2D68D4F7">
      <w:pPr>
        <w:ind w:firstLine="422"/>
        <w:rPr>
          <w:rFonts w:ascii="宋体"/>
          <w:b/>
          <w:color w:val="auto"/>
        </w:rPr>
      </w:pPr>
    </w:p>
    <w:p w14:paraId="29BEE22C">
      <w:pPr>
        <w:ind w:firstLine="413" w:firstLineChars="196"/>
        <w:rPr>
          <w:rFonts w:ascii="宋体"/>
          <w:b/>
          <w:color w:val="auto"/>
        </w:rPr>
      </w:pPr>
      <w:bookmarkStart w:id="954" w:name="_Toc84948042"/>
      <w:r>
        <w:rPr>
          <w:rFonts w:hint="eastAsia" w:ascii="宋体"/>
          <w:b/>
          <w:color w:val="auto"/>
        </w:rPr>
        <w:t>第十八条 争议解决</w:t>
      </w:r>
      <w:bookmarkEnd w:id="954"/>
    </w:p>
    <w:p w14:paraId="1AF76EAE">
      <w:pPr>
        <w:pStyle w:val="12"/>
        <w:snapToGrid w:val="0"/>
        <w:ind w:firstLine="420"/>
        <w:rPr>
          <w:color w:val="auto"/>
          <w:sz w:val="24"/>
        </w:rPr>
      </w:pPr>
      <w:r>
        <w:rPr>
          <w:rFonts w:hint="eastAsia"/>
          <w:color w:val="auto"/>
        </w:rPr>
        <w:t>本合同的解释、效力、履行及其他事项，均适用中华人民共和国法律、法规，如无法律、法规规定，适用有关行政管理部门规章。本合同履行中双方发生任何争议，应协商解决，协商不成的，</w:t>
      </w:r>
      <w:r>
        <w:rPr>
          <w:rFonts w:hint="eastAsia"/>
          <w:color w:val="auto"/>
          <w:sz w:val="24"/>
        </w:rPr>
        <w:t>任何一方</w:t>
      </w:r>
      <w:r>
        <w:rPr>
          <w:color w:val="auto"/>
          <w:sz w:val="24"/>
        </w:rPr>
        <w:t>应按照下列第</w:t>
      </w:r>
      <w:r>
        <w:rPr>
          <w:color w:val="auto"/>
          <w:sz w:val="24"/>
          <w:u w:val="single"/>
        </w:rPr>
        <w:t xml:space="preserve">     </w:t>
      </w:r>
      <w:r>
        <w:rPr>
          <w:color w:val="auto"/>
          <w:sz w:val="24"/>
        </w:rPr>
        <w:t>种方式解决：</w:t>
      </w:r>
    </w:p>
    <w:p w14:paraId="215DC1A2">
      <w:pPr>
        <w:pStyle w:val="12"/>
        <w:numPr>
          <w:ilvl w:val="0"/>
          <w:numId w:val="1"/>
        </w:numPr>
        <w:snapToGrid w:val="0"/>
        <w:ind w:firstLineChars="0"/>
        <w:rPr>
          <w:color w:val="auto"/>
          <w:sz w:val="24"/>
        </w:rPr>
      </w:pPr>
      <w:r>
        <w:rPr>
          <w:rFonts w:hint="eastAsia"/>
          <w:color w:val="auto"/>
          <w:sz w:val="24"/>
        </w:rPr>
        <w:t>向</w:t>
      </w:r>
      <w:r>
        <w:rPr>
          <w:color w:val="auto"/>
          <w:sz w:val="24"/>
        </w:rPr>
        <w:t>重庆仲裁委员会按照该会届时有效的仲裁规则申请仲裁。</w:t>
      </w:r>
    </w:p>
    <w:p w14:paraId="24DA3513">
      <w:pPr>
        <w:pStyle w:val="12"/>
        <w:numPr>
          <w:ilvl w:val="0"/>
          <w:numId w:val="1"/>
        </w:numPr>
        <w:snapToGrid w:val="0"/>
        <w:ind w:firstLineChars="0"/>
        <w:rPr>
          <w:color w:val="auto"/>
          <w:sz w:val="24"/>
        </w:rPr>
      </w:pPr>
      <w:r>
        <w:rPr>
          <w:color w:val="auto"/>
          <w:sz w:val="24"/>
        </w:rPr>
        <w:t>向</w:t>
      </w:r>
      <w:r>
        <w:rPr>
          <w:rFonts w:hint="eastAsia"/>
          <w:color w:val="auto"/>
          <w:sz w:val="24"/>
        </w:rPr>
        <w:t>本合同首部载明的甲方地址所在地有管辖权的人民法院起诉。</w:t>
      </w:r>
    </w:p>
    <w:p w14:paraId="6232EFD8">
      <w:pPr>
        <w:ind w:firstLine="420"/>
        <w:rPr>
          <w:rFonts w:ascii="宋体"/>
          <w:color w:val="auto"/>
        </w:rPr>
      </w:pPr>
    </w:p>
    <w:p w14:paraId="5728186B">
      <w:pPr>
        <w:ind w:firstLine="413" w:firstLineChars="196"/>
        <w:rPr>
          <w:rFonts w:ascii="宋体"/>
          <w:b/>
          <w:color w:val="auto"/>
        </w:rPr>
      </w:pPr>
      <w:bookmarkStart w:id="955" w:name="_Toc84948043"/>
      <w:r>
        <w:rPr>
          <w:rFonts w:hint="eastAsia" w:ascii="宋体"/>
          <w:b/>
          <w:color w:val="auto"/>
        </w:rPr>
        <w:t>第十九条 通知与送达</w:t>
      </w:r>
      <w:bookmarkEnd w:id="955"/>
    </w:p>
    <w:p w14:paraId="383DB0BD">
      <w:pPr>
        <w:ind w:firstLine="420"/>
        <w:rPr>
          <w:rFonts w:ascii="宋体"/>
          <w:color w:val="auto"/>
        </w:rPr>
      </w:pPr>
      <w:r>
        <w:rPr>
          <w:rFonts w:hint="eastAsia" w:ascii="宋体"/>
          <w:color w:val="auto"/>
        </w:rPr>
        <w:t>除双方另有约定，本合同项下的所有书面通知，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14:paraId="31B223C5">
      <w:pPr>
        <w:adjustRightInd w:val="0"/>
        <w:spacing w:line="336" w:lineRule="auto"/>
        <w:ind w:firstLine="470" w:firstLineChars="224"/>
        <w:jc w:val="left"/>
        <w:rPr>
          <w:rFonts w:ascii="宋体"/>
          <w:color w:val="auto"/>
        </w:rPr>
      </w:pPr>
      <w:r>
        <w:rPr>
          <w:rFonts w:hint="eastAsia" w:ascii="宋体"/>
          <w:color w:val="auto"/>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1A12FFA1">
      <w:pPr>
        <w:adjustRightInd w:val="0"/>
        <w:spacing w:line="336" w:lineRule="auto"/>
        <w:ind w:firstLine="470" w:firstLineChars="224"/>
        <w:jc w:val="left"/>
        <w:rPr>
          <w:rFonts w:ascii="宋体"/>
          <w:color w:val="auto"/>
        </w:rPr>
      </w:pPr>
    </w:p>
    <w:p w14:paraId="65E58CC4">
      <w:pPr>
        <w:ind w:firstLine="413" w:firstLineChars="196"/>
        <w:rPr>
          <w:rFonts w:ascii="宋体"/>
          <w:b/>
          <w:color w:val="auto"/>
        </w:rPr>
      </w:pPr>
      <w:bookmarkStart w:id="956" w:name="_Toc84948044"/>
      <w:r>
        <w:rPr>
          <w:rFonts w:hint="eastAsia" w:ascii="宋体"/>
          <w:b/>
          <w:color w:val="auto"/>
        </w:rPr>
        <w:t>第二十条 合同生效</w:t>
      </w:r>
      <w:bookmarkEnd w:id="956"/>
    </w:p>
    <w:p w14:paraId="32562DC5">
      <w:pPr>
        <w:ind w:firstLine="420"/>
        <w:rPr>
          <w:rFonts w:ascii="宋体"/>
          <w:color w:val="auto"/>
        </w:rPr>
      </w:pPr>
      <w:r>
        <w:rPr>
          <w:rFonts w:hint="eastAsia" w:ascii="宋体"/>
          <w:color w:val="auto"/>
        </w:rPr>
        <w:t>本合同自下列条件全部满足之日起生效：</w:t>
      </w:r>
    </w:p>
    <w:p w14:paraId="2F26ADFE">
      <w:pPr>
        <w:ind w:firstLine="420"/>
        <w:rPr>
          <w:rFonts w:ascii="宋体"/>
          <w:color w:val="auto"/>
        </w:rPr>
      </w:pPr>
      <w:r>
        <w:rPr>
          <w:rFonts w:hint="eastAsia" w:ascii="宋体"/>
          <w:color w:val="auto"/>
        </w:rPr>
        <w:t>双方对本合同及其全部附件内容达成一致并加盖公章。</w:t>
      </w:r>
    </w:p>
    <w:p w14:paraId="79EDB16D">
      <w:pPr>
        <w:ind w:firstLine="422"/>
        <w:rPr>
          <w:rFonts w:ascii="宋体"/>
          <w:b/>
          <w:color w:val="auto"/>
        </w:rPr>
      </w:pPr>
    </w:p>
    <w:p w14:paraId="2EBC9FBB">
      <w:pPr>
        <w:ind w:firstLine="413" w:firstLineChars="196"/>
        <w:rPr>
          <w:rFonts w:ascii="宋体"/>
          <w:b/>
          <w:color w:val="auto"/>
        </w:rPr>
      </w:pPr>
      <w:bookmarkStart w:id="957" w:name="_Toc84948045"/>
      <w:r>
        <w:rPr>
          <w:rFonts w:hint="eastAsia" w:ascii="宋体"/>
          <w:b/>
          <w:color w:val="auto"/>
        </w:rPr>
        <w:t>第二十一条 不可抗力</w:t>
      </w:r>
      <w:bookmarkEnd w:id="957"/>
    </w:p>
    <w:p w14:paraId="1548899A">
      <w:pPr>
        <w:ind w:firstLine="420"/>
        <w:rPr>
          <w:rFonts w:ascii="宋体"/>
          <w:color w:val="auto"/>
          <w:kern w:val="0"/>
        </w:rPr>
      </w:pPr>
      <w:r>
        <w:rPr>
          <w:rFonts w:hint="eastAsia" w:ascii="宋体"/>
          <w:color w:val="auto"/>
          <w:kern w:val="0"/>
        </w:rPr>
        <w:t>21.1不可抗力是指本合同生效后，发生不能预见并且对其发生和后果不能防止或避免的事件，如地震、台风、水灾、火灾、战争、传染病等，致使直接影响本合同的履行或不能按约定的条件履行。</w:t>
      </w:r>
    </w:p>
    <w:p w14:paraId="1AD3830F">
      <w:pPr>
        <w:ind w:firstLine="420"/>
        <w:rPr>
          <w:rFonts w:ascii="宋体"/>
          <w:color w:val="auto"/>
          <w:kern w:val="0"/>
        </w:rPr>
      </w:pPr>
      <w:r>
        <w:rPr>
          <w:rFonts w:hint="eastAsia" w:ascii="宋体"/>
          <w:color w:val="auto"/>
          <w:kern w:val="0"/>
        </w:rPr>
        <w:t>21.2发生不可抗力的一方应立即通知对方，并在十五天内提供不可抗力的详情及将有关证明文件送交对方。</w:t>
      </w:r>
    </w:p>
    <w:p w14:paraId="3F578D13">
      <w:pPr>
        <w:ind w:firstLine="420"/>
        <w:rPr>
          <w:rFonts w:ascii="宋体"/>
          <w:color w:val="auto"/>
          <w:kern w:val="0"/>
        </w:rPr>
      </w:pPr>
      <w:r>
        <w:rPr>
          <w:rFonts w:hint="eastAsia" w:ascii="宋体"/>
          <w:color w:val="auto"/>
          <w:kern w:val="0"/>
        </w:rPr>
        <w:t>21.3发生不可抗力事件时，甲乙双方应协商以寻找一个合理的解决方法，并尽一切努力减轻不可抗力产生的后果。</w:t>
      </w:r>
    </w:p>
    <w:p w14:paraId="1CCBD557">
      <w:pPr>
        <w:ind w:firstLine="420"/>
        <w:rPr>
          <w:rFonts w:ascii="宋体"/>
          <w:color w:val="auto"/>
          <w:kern w:val="0"/>
        </w:rPr>
      </w:pPr>
      <w:r>
        <w:rPr>
          <w:rFonts w:hint="eastAsia" w:ascii="宋体"/>
          <w:color w:val="auto"/>
          <w:kern w:val="0"/>
        </w:rPr>
        <w:t>21.4如不可抗力事件持续三十天时，甲乙双方应友好协商解决本合同是否继续履行或终止的问题。</w:t>
      </w:r>
    </w:p>
    <w:p w14:paraId="52C4305D">
      <w:pPr>
        <w:ind w:firstLine="422"/>
        <w:rPr>
          <w:rFonts w:ascii="宋体"/>
          <w:b/>
          <w:color w:val="auto"/>
        </w:rPr>
      </w:pPr>
    </w:p>
    <w:p w14:paraId="4B803DBF">
      <w:pPr>
        <w:ind w:firstLine="413" w:firstLineChars="196"/>
        <w:rPr>
          <w:rFonts w:ascii="宋体"/>
          <w:b/>
          <w:color w:val="auto"/>
        </w:rPr>
      </w:pPr>
      <w:bookmarkStart w:id="958" w:name="_Toc84948046"/>
      <w:r>
        <w:rPr>
          <w:rFonts w:hint="eastAsia" w:ascii="宋体"/>
          <w:b/>
          <w:color w:val="auto"/>
        </w:rPr>
        <w:t>第二十二条 反商业贿赂</w:t>
      </w:r>
      <w:bookmarkEnd w:id="958"/>
    </w:p>
    <w:p w14:paraId="11CD99B0">
      <w:pPr>
        <w:ind w:firstLine="420"/>
        <w:rPr>
          <w:rFonts w:ascii="宋体"/>
          <w:color w:val="auto"/>
        </w:rPr>
      </w:pPr>
      <w:r>
        <w:rPr>
          <w:rFonts w:hint="eastAsia" w:ascii="宋体"/>
          <w:color w:val="auto"/>
        </w:rPr>
        <w:t>乙方不得对甲方或甲方任何员工有任何商业贿赂的行为，否则经查证属实后，乙方应对甲方赔付相当于合同总额50%的赔偿金。该条在法律允许的范围内，不受任何免责或限制责任的条款制约。</w:t>
      </w:r>
    </w:p>
    <w:p w14:paraId="178DAB7D">
      <w:pPr>
        <w:ind w:firstLine="422"/>
        <w:rPr>
          <w:rFonts w:ascii="宋体"/>
          <w:b/>
          <w:color w:val="auto"/>
        </w:rPr>
      </w:pPr>
    </w:p>
    <w:p w14:paraId="30F896E1">
      <w:pPr>
        <w:ind w:firstLine="413" w:firstLineChars="196"/>
        <w:rPr>
          <w:rFonts w:ascii="宋体"/>
          <w:b/>
          <w:color w:val="auto"/>
        </w:rPr>
      </w:pPr>
      <w:bookmarkStart w:id="959" w:name="_Toc84948047"/>
      <w:r>
        <w:rPr>
          <w:rFonts w:hint="eastAsia" w:ascii="宋体"/>
          <w:b/>
          <w:color w:val="auto"/>
        </w:rPr>
        <w:t>第二十三条 附件</w:t>
      </w:r>
      <w:bookmarkEnd w:id="959"/>
    </w:p>
    <w:p w14:paraId="4BC0FF9E">
      <w:pPr>
        <w:ind w:firstLine="489" w:firstLineChars="233"/>
        <w:rPr>
          <w:rFonts w:ascii="宋体"/>
          <w:color w:val="auto"/>
        </w:rPr>
      </w:pPr>
      <w:r>
        <w:rPr>
          <w:rFonts w:hint="eastAsia" w:ascii="宋体"/>
          <w:color w:val="auto"/>
        </w:rPr>
        <w:t>本合同的附件与合同正本具有同等法律效力，主合同与附件如有冲突，以主合同为准。本合同附件如下：</w:t>
      </w:r>
    </w:p>
    <w:p w14:paraId="461B2DFC">
      <w:pPr>
        <w:ind w:left="560" w:firstLine="420"/>
        <w:rPr>
          <w:rFonts w:ascii="宋体"/>
          <w:color w:val="auto"/>
        </w:rPr>
      </w:pPr>
      <w:r>
        <w:rPr>
          <w:rFonts w:hint="eastAsia" w:ascii="宋体"/>
          <w:color w:val="auto"/>
        </w:rPr>
        <w:t>附件一：工作（需求）说明书</w:t>
      </w:r>
    </w:p>
    <w:p w14:paraId="1BBFF15E">
      <w:pPr>
        <w:ind w:left="560" w:firstLine="420"/>
        <w:rPr>
          <w:rFonts w:ascii="宋体"/>
          <w:color w:val="auto"/>
        </w:rPr>
      </w:pPr>
      <w:r>
        <w:rPr>
          <w:rFonts w:hint="eastAsia" w:ascii="宋体"/>
          <w:color w:val="auto"/>
        </w:rPr>
        <w:t>附件二：项目人员名单及人员应急退出机制</w:t>
      </w:r>
    </w:p>
    <w:p w14:paraId="2D9B6E4E">
      <w:pPr>
        <w:ind w:left="560" w:firstLine="420"/>
        <w:rPr>
          <w:rFonts w:ascii="宋体"/>
          <w:color w:val="auto"/>
        </w:rPr>
      </w:pPr>
      <w:r>
        <w:rPr>
          <w:rFonts w:hint="eastAsia" w:ascii="宋体"/>
          <w:color w:val="auto"/>
        </w:rPr>
        <w:t>附件三：验收标准及流程</w:t>
      </w:r>
    </w:p>
    <w:p w14:paraId="3EE360EE">
      <w:pPr>
        <w:ind w:left="560" w:firstLine="420"/>
        <w:rPr>
          <w:rFonts w:ascii="宋体"/>
          <w:color w:val="auto"/>
        </w:rPr>
      </w:pPr>
      <w:r>
        <w:rPr>
          <w:rFonts w:hint="eastAsia" w:ascii="宋体"/>
          <w:color w:val="auto"/>
        </w:rPr>
        <w:t>附件四：维护服务条款</w:t>
      </w:r>
    </w:p>
    <w:p w14:paraId="340A65F3">
      <w:pPr>
        <w:ind w:left="560" w:firstLine="420"/>
        <w:rPr>
          <w:rFonts w:ascii="宋体"/>
          <w:color w:val="auto"/>
        </w:rPr>
      </w:pPr>
      <w:r>
        <w:rPr>
          <w:rFonts w:hint="eastAsia" w:ascii="宋体"/>
          <w:color w:val="auto"/>
        </w:rPr>
        <w:t>附件五：服务水平协议（SLA）</w:t>
      </w:r>
    </w:p>
    <w:p w14:paraId="0DF5ECCD">
      <w:pPr>
        <w:ind w:left="560" w:firstLine="420"/>
        <w:rPr>
          <w:rFonts w:ascii="宋体"/>
          <w:color w:val="auto"/>
        </w:rPr>
      </w:pPr>
      <w:r>
        <w:rPr>
          <w:rFonts w:hint="eastAsia" w:ascii="宋体"/>
          <w:color w:val="auto"/>
        </w:rPr>
        <w:t>附件六：服务连续性预案</w:t>
      </w:r>
    </w:p>
    <w:p w14:paraId="2E8A3FED">
      <w:pPr>
        <w:ind w:left="560" w:firstLine="420"/>
        <w:rPr>
          <w:rFonts w:ascii="宋体"/>
          <w:color w:val="auto"/>
        </w:rPr>
      </w:pPr>
    </w:p>
    <w:p w14:paraId="08C33D92">
      <w:pPr>
        <w:ind w:firstLine="413" w:firstLineChars="196"/>
        <w:rPr>
          <w:rFonts w:ascii="宋体"/>
          <w:b/>
          <w:color w:val="auto"/>
        </w:rPr>
      </w:pPr>
      <w:bookmarkStart w:id="960" w:name="_Toc84948048"/>
      <w:r>
        <w:rPr>
          <w:rFonts w:hint="eastAsia" w:ascii="宋体"/>
          <w:b/>
          <w:color w:val="auto"/>
        </w:rPr>
        <w:t>第二十四条 其他</w:t>
      </w:r>
      <w:bookmarkEnd w:id="960"/>
    </w:p>
    <w:p w14:paraId="451DAEAE">
      <w:pPr>
        <w:pStyle w:val="13"/>
        <w:spacing w:before="0" w:beforeLines="0" w:line="360" w:lineRule="auto"/>
        <w:ind w:firstLine="420"/>
        <w:rPr>
          <w:rFonts w:ascii="宋体"/>
          <w:color w:val="auto"/>
        </w:rPr>
      </w:pPr>
      <w:r>
        <w:rPr>
          <w:rStyle w:val="60"/>
          <w:rFonts w:hint="eastAsia" w:ascii="宋体"/>
          <w:color w:val="auto"/>
          <w:kern w:val="0"/>
        </w:rPr>
        <w:t>24.1除本</w:t>
      </w:r>
      <w:r>
        <w:rPr>
          <w:rFonts w:hint="eastAsia" w:ascii="宋体"/>
          <w:color w:val="auto"/>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1EC31C3C">
      <w:pPr>
        <w:pStyle w:val="13"/>
        <w:spacing w:before="0" w:beforeLines="0" w:line="360" w:lineRule="auto"/>
        <w:ind w:firstLine="420"/>
        <w:rPr>
          <w:rFonts w:ascii="宋体"/>
          <w:color w:val="auto"/>
        </w:rPr>
      </w:pPr>
      <w:r>
        <w:rPr>
          <w:rFonts w:hint="eastAsia" w:ascii="宋体"/>
          <w:color w:val="auto"/>
        </w:rPr>
        <w:t>24.</w:t>
      </w:r>
      <w:r>
        <w:rPr>
          <w:rStyle w:val="60"/>
          <w:rFonts w:hint="eastAsia" w:ascii="宋体"/>
          <w:color w:val="auto"/>
          <w:kern w:val="0"/>
        </w:rPr>
        <w:t>2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hint="eastAsia" w:ascii="宋体"/>
          <w:color w:val="auto"/>
        </w:rPr>
        <w:t>同其他条款或内容的合法性、有效性和可执行性不受影响。</w:t>
      </w:r>
    </w:p>
    <w:p w14:paraId="3E1EE72A">
      <w:pPr>
        <w:ind w:firstLine="420"/>
        <w:rPr>
          <w:rFonts w:ascii="宋体"/>
          <w:color w:val="auto"/>
        </w:rPr>
      </w:pPr>
      <w:r>
        <w:rPr>
          <w:rStyle w:val="60"/>
          <w:rFonts w:hint="eastAsia" w:ascii="宋体"/>
          <w:color w:val="auto"/>
          <w:kern w:val="0"/>
        </w:rPr>
        <w:t>24.3本</w:t>
      </w:r>
      <w:r>
        <w:rPr>
          <w:rFonts w:hint="eastAsia" w:ascii="宋体"/>
          <w:color w:val="auto"/>
        </w:rPr>
        <w:t>合同签订后，如需要就与合同执行有关的事项签订补充合同，应由双方加盖公章后，补充合同即生效。</w:t>
      </w:r>
      <w:r>
        <w:rPr>
          <w:rFonts w:ascii="宋体"/>
          <w:color w:val="auto"/>
        </w:rPr>
        <w:t>本合同附件为本合同的组成部分，本</w:t>
      </w:r>
      <w:r>
        <w:rPr>
          <w:rFonts w:hint="eastAsia" w:ascii="宋体"/>
          <w:color w:val="auto"/>
        </w:rPr>
        <w:t>合同与附件如有冲突，以</w:t>
      </w:r>
      <w:r>
        <w:rPr>
          <w:rFonts w:ascii="宋体"/>
          <w:color w:val="auto"/>
        </w:rPr>
        <w:t>本</w:t>
      </w:r>
      <w:r>
        <w:rPr>
          <w:rFonts w:hint="eastAsia" w:ascii="宋体"/>
          <w:color w:val="auto"/>
        </w:rPr>
        <w:t>合同为准。</w:t>
      </w:r>
    </w:p>
    <w:p w14:paraId="42970708">
      <w:pPr>
        <w:ind w:firstLine="420"/>
        <w:rPr>
          <w:rStyle w:val="60"/>
          <w:rFonts w:ascii="宋体"/>
          <w:color w:val="auto"/>
          <w:kern w:val="0"/>
        </w:rPr>
      </w:pPr>
      <w:r>
        <w:rPr>
          <w:rStyle w:val="60"/>
          <w:rFonts w:hint="eastAsia" w:ascii="宋体"/>
          <w:color w:val="auto"/>
          <w:kern w:val="0"/>
        </w:rPr>
        <w:t>24.4本合同以中文版本为准，除非本合同明确规定或双方另有约定，为履行本合同的所有文件及信函均以中文书写。</w:t>
      </w:r>
    </w:p>
    <w:p w14:paraId="36F59067">
      <w:pPr>
        <w:ind w:firstLine="420"/>
        <w:rPr>
          <w:rFonts w:ascii="宋体"/>
          <w:b/>
          <w:i/>
          <w:color w:val="auto"/>
        </w:rPr>
      </w:pPr>
      <w:r>
        <w:rPr>
          <w:rStyle w:val="60"/>
          <w:rFonts w:hint="eastAsia" w:ascii="宋体"/>
          <w:color w:val="auto"/>
          <w:kern w:val="0"/>
        </w:rPr>
        <w:t>24.5本合同一式肆份，甲方执贰份，乙方执贰份，每份具有同等法律</w:t>
      </w:r>
      <w:r>
        <w:rPr>
          <w:rFonts w:hint="eastAsia" w:ascii="宋体"/>
          <w:color w:val="auto"/>
        </w:rPr>
        <w:t>效力。</w:t>
      </w:r>
    </w:p>
    <w:p w14:paraId="05B198BD">
      <w:pPr>
        <w:ind w:firstLine="422"/>
        <w:rPr>
          <w:rFonts w:ascii="宋体"/>
          <w:b/>
          <w:iCs/>
          <w:color w:val="auto"/>
        </w:rPr>
      </w:pPr>
      <w:r>
        <w:rPr>
          <w:rFonts w:hint="eastAsia" w:ascii="宋体"/>
          <w:b/>
          <w:iCs/>
          <w:color w:val="auto"/>
        </w:rPr>
        <w:t>（以下无正文）</w:t>
      </w:r>
    </w:p>
    <w:p w14:paraId="093D2B8F">
      <w:pPr>
        <w:ind w:firstLine="422"/>
        <w:rPr>
          <w:rFonts w:ascii="宋体"/>
          <w:b/>
          <w:iCs/>
          <w:color w:val="auto"/>
        </w:rPr>
      </w:pPr>
    </w:p>
    <w:p w14:paraId="0ABCB677">
      <w:pPr>
        <w:ind w:firstLine="422"/>
        <w:rPr>
          <w:rFonts w:ascii="宋体"/>
          <w:b/>
          <w:i/>
          <w:color w:val="auto"/>
        </w:rPr>
      </w:pPr>
    </w:p>
    <w:p w14:paraId="04B09879">
      <w:pPr>
        <w:ind w:firstLine="422"/>
        <w:rPr>
          <w:rFonts w:ascii="宋体"/>
          <w:b/>
          <w:i/>
          <w:color w:val="auto"/>
        </w:rPr>
      </w:pPr>
    </w:p>
    <w:p w14:paraId="05D61800">
      <w:pPr>
        <w:tabs>
          <w:tab w:val="left" w:pos="851"/>
        </w:tabs>
        <w:adjustRightInd w:val="0"/>
        <w:ind w:firstLine="420"/>
        <w:textAlignment w:val="baseline"/>
        <w:rPr>
          <w:rFonts w:ascii="宋体"/>
          <w:color w:val="auto"/>
          <w:kern w:val="0"/>
        </w:rPr>
      </w:pPr>
      <w:r>
        <w:rPr>
          <w:rFonts w:hint="eastAsia" w:ascii="宋体"/>
          <w:color w:val="auto"/>
          <w:kern w:val="0"/>
        </w:rPr>
        <w:t>甲方：</w:t>
      </w:r>
      <w:r>
        <w:rPr>
          <w:rFonts w:hint="eastAsia" w:ascii="宋体"/>
          <w:b/>
          <w:color w:val="auto"/>
        </w:rPr>
        <w:t>重庆三峡银行股份有限公司</w:t>
      </w:r>
      <w:r>
        <w:rPr>
          <w:rFonts w:hint="eastAsia" w:ascii="宋体"/>
          <w:color w:val="auto"/>
          <w:kern w:val="0"/>
        </w:rPr>
        <w:t>（公章）</w:t>
      </w:r>
    </w:p>
    <w:p w14:paraId="01637AC4">
      <w:pPr>
        <w:ind w:firstLine="420"/>
        <w:rPr>
          <w:rFonts w:ascii="宋体"/>
          <w:color w:val="auto"/>
        </w:rPr>
      </w:pPr>
    </w:p>
    <w:p w14:paraId="60695E9C">
      <w:pPr>
        <w:tabs>
          <w:tab w:val="left" w:pos="851"/>
        </w:tabs>
        <w:adjustRightInd w:val="0"/>
        <w:ind w:firstLine="630" w:firstLineChars="300"/>
        <w:textAlignment w:val="baseline"/>
        <w:rPr>
          <w:rFonts w:ascii="宋体"/>
          <w:color w:val="auto"/>
          <w:kern w:val="0"/>
        </w:rPr>
      </w:pPr>
    </w:p>
    <w:p w14:paraId="455F635C">
      <w:pPr>
        <w:ind w:firstLine="420"/>
        <w:rPr>
          <w:rFonts w:ascii="宋体"/>
          <w:color w:val="auto"/>
        </w:rPr>
      </w:pPr>
    </w:p>
    <w:p w14:paraId="777399CF">
      <w:pPr>
        <w:ind w:firstLine="420"/>
        <w:rPr>
          <w:rFonts w:ascii="宋体"/>
          <w:color w:val="auto"/>
        </w:rPr>
      </w:pPr>
      <w:r>
        <w:rPr>
          <w:rFonts w:hint="eastAsia" w:ascii="宋体"/>
          <w:color w:val="auto"/>
        </w:rPr>
        <w:t>乙方：</w:t>
      </w:r>
      <w:r>
        <w:rPr>
          <w:rFonts w:hint="eastAsia" w:ascii="宋体"/>
          <w:b/>
          <w:color w:val="auto"/>
        </w:rPr>
        <w:t>X</w:t>
      </w:r>
      <w:r>
        <w:rPr>
          <w:rFonts w:ascii="宋体"/>
          <w:b/>
          <w:color w:val="auto"/>
        </w:rPr>
        <w:t>XXXXXXXXXXXXXXX</w:t>
      </w:r>
      <w:r>
        <w:rPr>
          <w:rFonts w:hint="eastAsia" w:ascii="宋体"/>
          <w:b/>
          <w:color w:val="auto"/>
        </w:rPr>
        <w:t>公司</w:t>
      </w:r>
      <w:r>
        <w:rPr>
          <w:rFonts w:hint="eastAsia" w:ascii="宋体"/>
          <w:color w:val="auto"/>
        </w:rPr>
        <w:t>（公章）</w:t>
      </w:r>
    </w:p>
    <w:p w14:paraId="28E08ECA">
      <w:pPr>
        <w:ind w:firstLine="420"/>
        <w:rPr>
          <w:rFonts w:ascii="宋体"/>
          <w:color w:val="auto"/>
        </w:rPr>
      </w:pPr>
    </w:p>
    <w:p w14:paraId="49D2A723">
      <w:pPr>
        <w:ind w:firstLine="4620" w:firstLineChars="2200"/>
        <w:rPr>
          <w:rFonts w:ascii="宋体"/>
          <w:color w:val="auto"/>
        </w:rPr>
      </w:pPr>
      <w:r>
        <w:rPr>
          <w:rFonts w:hint="eastAsia" w:ascii="宋体"/>
          <w:color w:val="auto"/>
        </w:rPr>
        <w:t>日期：  年  月  日</w:t>
      </w:r>
    </w:p>
    <w:p w14:paraId="3162B5B1">
      <w:pPr>
        <w:pStyle w:val="45"/>
        <w:rPr>
          <w:rFonts w:hint="default"/>
          <w:color w:val="auto"/>
        </w:rPr>
      </w:pPr>
      <w:r>
        <w:rPr>
          <w:color w:val="auto"/>
        </w:rPr>
        <w:br w:type="page"/>
      </w:r>
      <w:bookmarkStart w:id="961" w:name="_Toc63757481"/>
      <w:bookmarkStart w:id="962" w:name="_Toc84948049"/>
      <w:r>
        <w:rPr>
          <w:color w:val="auto"/>
        </w:rPr>
        <w:t>附件一：工作（需求）说明书</w:t>
      </w:r>
      <w:bookmarkEnd w:id="961"/>
      <w:bookmarkEnd w:id="962"/>
    </w:p>
    <w:p w14:paraId="32E1282F">
      <w:pPr>
        <w:ind w:firstLine="600"/>
        <w:rPr>
          <w:rStyle w:val="60"/>
          <w:rFonts w:ascii="宋体"/>
          <w:color w:val="auto"/>
          <w:kern w:val="0"/>
          <w:sz w:val="30"/>
        </w:rPr>
      </w:pPr>
      <w:bookmarkStart w:id="963" w:name="_Toc84948050"/>
      <w:bookmarkStart w:id="964" w:name="_Toc63757482"/>
    </w:p>
    <w:p w14:paraId="02CF6799">
      <w:pPr>
        <w:pStyle w:val="45"/>
        <w:rPr>
          <w:rFonts w:hint="default"/>
          <w:color w:val="auto"/>
        </w:rPr>
      </w:pPr>
      <w:r>
        <w:rPr>
          <w:rStyle w:val="60"/>
          <w:rFonts w:ascii="宋体"/>
          <w:color w:val="auto"/>
        </w:rPr>
        <w:br w:type="page"/>
      </w:r>
      <w:r>
        <w:rPr>
          <w:color w:val="auto"/>
        </w:rPr>
        <w:t>附件二：项目人员名单及人员应急退出机制</w:t>
      </w:r>
      <w:bookmarkEnd w:id="963"/>
      <w:bookmarkEnd w:id="964"/>
    </w:p>
    <w:p w14:paraId="69C607DC">
      <w:pPr>
        <w:ind w:firstLine="420"/>
        <w:rPr>
          <w:rStyle w:val="60"/>
          <w:rFonts w:ascii="宋体"/>
          <w:color w:val="auto"/>
          <w:kern w:val="0"/>
        </w:rPr>
      </w:pPr>
    </w:p>
    <w:p w14:paraId="6D28745D">
      <w:pPr>
        <w:ind w:firstLine="422"/>
        <w:rPr>
          <w:rStyle w:val="60"/>
          <w:rFonts w:ascii="宋体"/>
          <w:b/>
          <w:color w:val="auto"/>
          <w:kern w:val="0"/>
        </w:rPr>
      </w:pPr>
      <w:r>
        <w:rPr>
          <w:rStyle w:val="60"/>
          <w:rFonts w:hint="eastAsia" w:ascii="宋体"/>
          <w:b/>
          <w:color w:val="auto"/>
          <w:kern w:val="0"/>
        </w:rPr>
        <w:t>一、项目人员名单</w:t>
      </w:r>
    </w:p>
    <w:p w14:paraId="440504C7">
      <w:pPr>
        <w:ind w:firstLine="420"/>
        <w:rPr>
          <w:rStyle w:val="60"/>
          <w:rFonts w:ascii="宋体"/>
          <w:color w:val="auto"/>
          <w:kern w:val="0"/>
        </w:rPr>
      </w:pPr>
      <w:r>
        <w:rPr>
          <w:rStyle w:val="60"/>
          <w:rFonts w:hint="eastAsia" w:ascii="宋体"/>
          <w:color w:val="auto"/>
          <w:kern w:val="0"/>
        </w:rPr>
        <w:t xml:space="preserve">项目经理： </w:t>
      </w:r>
    </w:p>
    <w:p w14:paraId="0F951CD7">
      <w:pPr>
        <w:ind w:firstLine="420"/>
        <w:rPr>
          <w:rStyle w:val="60"/>
          <w:rFonts w:ascii="宋体"/>
          <w:color w:val="auto"/>
          <w:kern w:val="0"/>
        </w:rPr>
      </w:pPr>
      <w:r>
        <w:rPr>
          <w:rStyle w:val="60"/>
          <w:rFonts w:hint="eastAsia" w:ascii="宋体"/>
          <w:color w:val="auto"/>
          <w:kern w:val="0"/>
        </w:rPr>
        <w:t>技术骨干：</w:t>
      </w:r>
    </w:p>
    <w:p w14:paraId="66800FB6">
      <w:pPr>
        <w:ind w:firstLine="420"/>
        <w:rPr>
          <w:rStyle w:val="60"/>
          <w:rFonts w:ascii="宋体"/>
          <w:color w:val="auto"/>
          <w:kern w:val="0"/>
        </w:rPr>
      </w:pPr>
      <w:r>
        <w:rPr>
          <w:rStyle w:val="60"/>
          <w:rFonts w:hint="eastAsia" w:ascii="宋体"/>
          <w:color w:val="auto"/>
          <w:kern w:val="0"/>
        </w:rPr>
        <w:t xml:space="preserve">项目组成员： </w:t>
      </w:r>
    </w:p>
    <w:p w14:paraId="59E7AE61">
      <w:pPr>
        <w:ind w:firstLine="420"/>
        <w:rPr>
          <w:rStyle w:val="60"/>
          <w:rFonts w:ascii="宋体"/>
          <w:color w:val="auto"/>
          <w:kern w:val="0"/>
        </w:rPr>
      </w:pPr>
    </w:p>
    <w:p w14:paraId="2819A358">
      <w:pPr>
        <w:ind w:firstLine="422"/>
        <w:rPr>
          <w:rStyle w:val="60"/>
          <w:rFonts w:ascii="宋体"/>
          <w:b/>
          <w:color w:val="auto"/>
          <w:kern w:val="0"/>
        </w:rPr>
      </w:pPr>
      <w:r>
        <w:rPr>
          <w:rStyle w:val="60"/>
          <w:rFonts w:hint="eastAsia" w:ascii="宋体"/>
          <w:b/>
          <w:color w:val="auto"/>
          <w:kern w:val="0"/>
        </w:rPr>
        <w:t>二、人员应急退出机制</w:t>
      </w:r>
    </w:p>
    <w:p w14:paraId="7A9C3437">
      <w:pPr>
        <w:ind w:firstLine="420"/>
        <w:rPr>
          <w:rStyle w:val="60"/>
          <w:rFonts w:ascii="宋体"/>
          <w:color w:val="auto"/>
          <w:kern w:val="0"/>
        </w:rPr>
      </w:pPr>
      <w:r>
        <w:rPr>
          <w:rStyle w:val="60"/>
          <w:rFonts w:hint="eastAsia" w:ascii="宋体"/>
          <w:color w:val="auto"/>
          <w:kern w:val="0"/>
        </w:rPr>
        <w:t>在项目实施过程中，若项目经理、技术骨干、项目组成员因工作调动、辞职等原因要离开项目组，乙方应提前一个月向甲方提出申请，经甲方同意可以更换，乙方应委派本附件约定的备用项目经理、备用技术骨干替代，涉及人员变动引起的风险、责任由乙方承担，且乙方不能因此而中断对甲方的服务，并及时启用备用人员，确保项目实施的连续性，离开人员需与备用人员办理好工作交接手续。</w:t>
      </w:r>
    </w:p>
    <w:p w14:paraId="558C2C99">
      <w:pPr>
        <w:ind w:firstLine="465" w:firstLineChars="0"/>
        <w:rPr>
          <w:rStyle w:val="60"/>
          <w:rFonts w:ascii="宋体"/>
          <w:color w:val="auto"/>
          <w:kern w:val="0"/>
        </w:rPr>
      </w:pPr>
      <w:r>
        <w:rPr>
          <w:rStyle w:val="60"/>
          <w:rFonts w:hint="eastAsia" w:ascii="宋体"/>
          <w:color w:val="auto"/>
          <w:kern w:val="0"/>
        </w:rPr>
        <w:t>备用项目经理：</w:t>
      </w:r>
    </w:p>
    <w:p w14:paraId="7D97C4EB">
      <w:pPr>
        <w:ind w:firstLine="465" w:firstLineChars="0"/>
        <w:rPr>
          <w:rStyle w:val="60"/>
          <w:rFonts w:ascii="宋体"/>
          <w:color w:val="auto"/>
          <w:kern w:val="0"/>
        </w:rPr>
      </w:pPr>
      <w:r>
        <w:rPr>
          <w:rStyle w:val="60"/>
          <w:rFonts w:hint="eastAsia" w:ascii="宋体"/>
          <w:color w:val="auto"/>
          <w:kern w:val="0"/>
        </w:rPr>
        <w:t>备用技术骨干：</w:t>
      </w:r>
    </w:p>
    <w:p w14:paraId="426A5552">
      <w:pPr>
        <w:pStyle w:val="45"/>
        <w:rPr>
          <w:rFonts w:hint="default"/>
          <w:color w:val="auto"/>
        </w:rPr>
      </w:pPr>
      <w:r>
        <w:rPr>
          <w:rStyle w:val="60"/>
          <w:rFonts w:ascii="宋体"/>
          <w:b w:val="0"/>
          <w:color w:val="auto"/>
        </w:rPr>
        <w:br w:type="page"/>
      </w:r>
      <w:bookmarkStart w:id="965" w:name="_Toc63757483"/>
      <w:bookmarkStart w:id="966" w:name="_Toc84948051"/>
      <w:r>
        <w:rPr>
          <w:color w:val="auto"/>
        </w:rPr>
        <w:t>附件三：验收标准及流程</w:t>
      </w:r>
      <w:bookmarkEnd w:id="965"/>
      <w:bookmarkEnd w:id="966"/>
    </w:p>
    <w:p w14:paraId="0457FEA3">
      <w:pPr>
        <w:ind w:firstLine="422"/>
        <w:rPr>
          <w:rStyle w:val="60"/>
          <w:rFonts w:ascii="宋体"/>
          <w:color w:val="auto"/>
          <w:kern w:val="0"/>
        </w:rPr>
      </w:pPr>
      <w:r>
        <w:rPr>
          <w:rStyle w:val="60"/>
          <w:rFonts w:hint="eastAsia" w:ascii="宋体"/>
          <w:b/>
          <w:color w:val="auto"/>
          <w:kern w:val="0"/>
        </w:rPr>
        <w:t>一、验收标准</w:t>
      </w:r>
    </w:p>
    <w:p w14:paraId="3ED07082">
      <w:pPr>
        <w:numPr>
          <w:ilvl w:val="0"/>
          <w:numId w:val="2"/>
        </w:numPr>
        <w:ind w:firstLineChars="0"/>
        <w:rPr>
          <w:rStyle w:val="60"/>
          <w:rFonts w:ascii="宋体"/>
          <w:color w:val="auto"/>
          <w:kern w:val="0"/>
        </w:rPr>
      </w:pPr>
      <w:r>
        <w:rPr>
          <w:rStyle w:val="60"/>
          <w:rFonts w:hint="eastAsia" w:ascii="宋体"/>
          <w:color w:val="auto"/>
          <w:kern w:val="0"/>
        </w:rPr>
        <w:t>验收系统须满足试运行期内项目产品运行稳定、无遗留问题。</w:t>
      </w:r>
    </w:p>
    <w:p w14:paraId="5D78F508">
      <w:pPr>
        <w:numPr>
          <w:ilvl w:val="0"/>
          <w:numId w:val="2"/>
        </w:numPr>
        <w:ind w:firstLineChars="0"/>
        <w:rPr>
          <w:rStyle w:val="60"/>
          <w:rFonts w:ascii="宋体"/>
          <w:color w:val="auto"/>
          <w:kern w:val="0"/>
        </w:rPr>
      </w:pPr>
      <w:r>
        <w:rPr>
          <w:rStyle w:val="60"/>
          <w:rFonts w:hint="eastAsia" w:ascii="宋体"/>
          <w:color w:val="auto"/>
          <w:kern w:val="0"/>
        </w:rPr>
        <w:t>项目知识及文档已全部完成转移。</w:t>
      </w:r>
    </w:p>
    <w:p w14:paraId="045D0A87">
      <w:pPr>
        <w:ind w:firstLine="315" w:firstLineChars="150"/>
        <w:rPr>
          <w:rStyle w:val="60"/>
          <w:rFonts w:ascii="宋体"/>
          <w:color w:val="auto"/>
          <w:kern w:val="0"/>
        </w:rPr>
      </w:pPr>
      <w:r>
        <w:rPr>
          <w:rStyle w:val="60"/>
          <w:rFonts w:hint="eastAsia" w:ascii="宋体"/>
          <w:color w:val="auto"/>
          <w:kern w:val="0"/>
        </w:rPr>
        <w:t>3、验收交付物包括：</w:t>
      </w:r>
    </w:p>
    <w:p w14:paraId="00698FA0">
      <w:pPr>
        <w:ind w:firstLine="420"/>
        <w:rPr>
          <w:rStyle w:val="60"/>
          <w:rFonts w:ascii="宋体"/>
          <w:iCs/>
          <w:color w:val="auto"/>
          <w:kern w:val="0"/>
        </w:rPr>
      </w:pPr>
      <w:r>
        <w:rPr>
          <w:rStyle w:val="60"/>
          <w:rFonts w:hint="eastAsia" w:ascii="宋体"/>
          <w:iCs/>
          <w:color w:val="auto"/>
          <w:kern w:val="0"/>
        </w:rPr>
        <w:t>《项目需求分析说明书》、《概要设计说明书》、《详细设计说明书》、《数据库设计说明书》、《系统安装部署手册》、《系统运行维护手册》、《用户操作手册》、《试运行报告》、《验收报告》</w:t>
      </w:r>
      <w:r>
        <w:rPr>
          <w:rStyle w:val="60"/>
          <w:rFonts w:ascii="宋体"/>
          <w:iCs/>
          <w:color w:val="auto"/>
          <w:kern w:val="0"/>
        </w:rPr>
        <w:t>、</w:t>
      </w:r>
      <w:r>
        <w:rPr>
          <w:rStyle w:val="60"/>
          <w:rFonts w:hint="eastAsia" w:ascii="宋体"/>
          <w:color w:val="auto"/>
          <w:kern w:val="0"/>
        </w:rPr>
        <w:t>《数据迁移方案》</w:t>
      </w:r>
      <w:r>
        <w:rPr>
          <w:rStyle w:val="60"/>
          <w:rFonts w:ascii="宋体"/>
          <w:color w:val="auto"/>
          <w:kern w:val="0"/>
        </w:rPr>
        <w:t>、</w:t>
      </w:r>
      <w:r>
        <w:rPr>
          <w:rStyle w:val="60"/>
          <w:rFonts w:hint="eastAsia" w:ascii="宋体"/>
          <w:color w:val="auto"/>
          <w:kern w:val="0"/>
        </w:rPr>
        <w:t>《软件兼容性方案》</w:t>
      </w:r>
      <w:r>
        <w:rPr>
          <w:rStyle w:val="60"/>
          <w:rFonts w:ascii="宋体"/>
          <w:color w:val="auto"/>
          <w:kern w:val="0"/>
        </w:rPr>
        <w:t>、</w:t>
      </w:r>
      <w:r>
        <w:rPr>
          <w:rStyle w:val="60"/>
          <w:rFonts w:hint="eastAsia" w:ascii="宋体"/>
          <w:color w:val="auto"/>
          <w:kern w:val="0"/>
        </w:rPr>
        <w:t>《系统测试计划》、《系统测试报告》、《性能测试报告》、《安全测试报告》</w:t>
      </w:r>
      <w:r>
        <w:rPr>
          <w:rStyle w:val="60"/>
          <w:rFonts w:ascii="宋体"/>
          <w:color w:val="auto"/>
          <w:kern w:val="0"/>
        </w:rPr>
        <w:t>、源代码。</w:t>
      </w:r>
    </w:p>
    <w:p w14:paraId="6CB7918A">
      <w:pPr>
        <w:ind w:firstLine="422"/>
        <w:rPr>
          <w:rStyle w:val="60"/>
          <w:rFonts w:ascii="宋体"/>
          <w:b/>
          <w:color w:val="auto"/>
          <w:kern w:val="0"/>
        </w:rPr>
      </w:pPr>
      <w:r>
        <w:rPr>
          <w:rStyle w:val="60"/>
          <w:rFonts w:hint="eastAsia" w:ascii="宋体"/>
          <w:b/>
          <w:color w:val="auto"/>
          <w:kern w:val="0"/>
        </w:rPr>
        <w:t>二、验收流程</w:t>
      </w:r>
    </w:p>
    <w:p w14:paraId="59573F9D">
      <w:pPr>
        <w:ind w:left="2" w:leftChars="1" w:firstLine="315" w:firstLineChars="150"/>
        <w:rPr>
          <w:rStyle w:val="60"/>
          <w:rFonts w:ascii="宋体"/>
          <w:color w:val="auto"/>
          <w:kern w:val="0"/>
        </w:rPr>
      </w:pPr>
      <w:r>
        <w:rPr>
          <w:rStyle w:val="60"/>
          <w:rFonts w:hint="eastAsia" w:ascii="宋体"/>
          <w:color w:val="auto"/>
          <w:kern w:val="0"/>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14:paraId="0330423B">
      <w:pPr>
        <w:ind w:left="-358" w:firstLine="420"/>
        <w:rPr>
          <w:rStyle w:val="60"/>
          <w:rFonts w:ascii="宋体"/>
          <w:color w:val="auto"/>
          <w:kern w:val="0"/>
        </w:rPr>
      </w:pPr>
    </w:p>
    <w:p w14:paraId="6D697CE4">
      <w:pPr>
        <w:pStyle w:val="45"/>
        <w:rPr>
          <w:rFonts w:hint="default"/>
          <w:color w:val="auto"/>
        </w:rPr>
      </w:pPr>
      <w:r>
        <w:rPr>
          <w:rStyle w:val="60"/>
          <w:rFonts w:ascii="宋体"/>
          <w:b w:val="0"/>
          <w:color w:val="auto"/>
        </w:rPr>
        <w:br w:type="page"/>
      </w:r>
      <w:bookmarkStart w:id="967" w:name="_Toc84948052"/>
      <w:bookmarkStart w:id="968" w:name="_Toc63757484"/>
      <w:r>
        <w:rPr>
          <w:color w:val="auto"/>
        </w:rPr>
        <w:t>附件四：维护服务条款</w:t>
      </w:r>
      <w:bookmarkEnd w:id="967"/>
      <w:bookmarkEnd w:id="968"/>
    </w:p>
    <w:p w14:paraId="02E91E29">
      <w:pPr>
        <w:ind w:firstLine="480" w:firstLineChars="0"/>
        <w:rPr>
          <w:rStyle w:val="60"/>
          <w:rFonts w:ascii="宋体"/>
          <w:color w:val="auto"/>
          <w:kern w:val="0"/>
        </w:rPr>
      </w:pPr>
      <w:r>
        <w:rPr>
          <w:rStyle w:val="60"/>
          <w:rFonts w:hint="eastAsia" w:ascii="宋体"/>
          <w:color w:val="auto"/>
          <w:kern w:val="0"/>
        </w:rPr>
        <w:t>乙方业务代表作为技术服务的第一联系人，项目经理作为该项目的技术服务第二联系人，随时接受客户的电话服务支持，并申请调配相关资源为客户提供及时服务。</w:t>
      </w:r>
    </w:p>
    <w:p w14:paraId="4436C184">
      <w:pPr>
        <w:numPr>
          <w:ilvl w:val="0"/>
          <w:numId w:val="3"/>
        </w:numPr>
        <w:tabs>
          <w:tab w:val="left" w:pos="420"/>
        </w:tabs>
        <w:ind w:firstLineChars="0"/>
        <w:rPr>
          <w:rStyle w:val="60"/>
          <w:rFonts w:ascii="宋体"/>
          <w:color w:val="auto"/>
        </w:rPr>
      </w:pPr>
      <w:r>
        <w:rPr>
          <w:rStyle w:val="60"/>
          <w:rFonts w:hint="eastAsia" w:ascii="宋体"/>
          <w:color w:val="auto"/>
        </w:rPr>
        <w:t>上线后提供三个月免费人员现场驻场维护，</w:t>
      </w:r>
      <w:r>
        <w:rPr>
          <w:rFonts w:hint="eastAsia" w:ascii="宋体"/>
          <w:color w:val="auto"/>
          <w:kern w:val="0"/>
        </w:rPr>
        <w:t>正式</w:t>
      </w:r>
      <w:r>
        <w:rPr>
          <w:rFonts w:hint="eastAsia" w:ascii="宋体"/>
          <w:color w:val="auto"/>
        </w:rPr>
        <w:t>验收合格次日</w:t>
      </w:r>
      <w:r>
        <w:rPr>
          <w:rStyle w:val="60"/>
          <w:rFonts w:hint="eastAsia" w:ascii="宋体"/>
          <w:color w:val="auto"/>
        </w:rPr>
        <w:t>至次年</w:t>
      </w:r>
      <w:r>
        <w:rPr>
          <w:rFonts w:hint="eastAsia" w:ascii="宋体"/>
          <w:color w:val="auto"/>
        </w:rPr>
        <w:t>并延期至6月30日或12月31日中较近日期（即维保延期最长不超过半年）</w:t>
      </w:r>
      <w:r>
        <w:rPr>
          <w:rStyle w:val="60"/>
          <w:rFonts w:hint="eastAsia" w:ascii="宋体"/>
          <w:color w:val="auto"/>
        </w:rPr>
        <w:t>提供支持和服务。</w:t>
      </w:r>
    </w:p>
    <w:p w14:paraId="03AACEC2">
      <w:pPr>
        <w:numPr>
          <w:ilvl w:val="0"/>
          <w:numId w:val="3"/>
        </w:numPr>
        <w:tabs>
          <w:tab w:val="left" w:pos="420"/>
        </w:tabs>
        <w:ind w:firstLineChars="0"/>
        <w:rPr>
          <w:rStyle w:val="60"/>
          <w:rFonts w:ascii="宋体"/>
          <w:color w:val="auto"/>
        </w:rPr>
      </w:pPr>
      <w:r>
        <w:rPr>
          <w:rStyle w:val="60"/>
          <w:rFonts w:hint="eastAsia" w:ascii="宋体"/>
          <w:color w:val="auto"/>
        </w:rPr>
        <w:t>维护期内，提供平台升级及优化服务。</w:t>
      </w:r>
    </w:p>
    <w:p w14:paraId="4ACA9EE0">
      <w:pPr>
        <w:numPr>
          <w:ilvl w:val="0"/>
          <w:numId w:val="3"/>
        </w:numPr>
        <w:tabs>
          <w:tab w:val="left" w:pos="420"/>
        </w:tabs>
        <w:ind w:firstLineChars="0"/>
        <w:rPr>
          <w:rStyle w:val="60"/>
          <w:rFonts w:ascii="宋体"/>
          <w:color w:val="auto"/>
        </w:rPr>
      </w:pPr>
      <w:r>
        <w:rPr>
          <w:rStyle w:val="60"/>
          <w:rFonts w:hint="eastAsia" w:ascii="宋体"/>
          <w:color w:val="auto"/>
        </w:rPr>
        <w:t>系统上线后，提供二次系统和产品的培训，时间为每次1天。在维护期内，也可以根据用户需求，随时到客户现场进行系统和产品的培训。</w:t>
      </w:r>
    </w:p>
    <w:p w14:paraId="5A3DCC44">
      <w:pPr>
        <w:numPr>
          <w:ilvl w:val="0"/>
          <w:numId w:val="3"/>
        </w:numPr>
        <w:tabs>
          <w:tab w:val="left" w:pos="420"/>
        </w:tabs>
        <w:ind w:firstLineChars="0"/>
        <w:rPr>
          <w:rFonts w:ascii="宋体"/>
          <w:color w:val="auto"/>
        </w:rPr>
      </w:pPr>
      <w:r>
        <w:rPr>
          <w:rStyle w:val="60"/>
          <w:rFonts w:hint="eastAsia" w:ascii="宋体"/>
          <w:color w:val="auto"/>
        </w:rPr>
        <w:t>维护期内，每季度派工程师现场巡检一次，并在巡检后提交巡检报告，针对巡检中发现的问题立即组织整改。</w:t>
      </w:r>
    </w:p>
    <w:p w14:paraId="0FD24531">
      <w:pPr>
        <w:ind w:firstLine="420"/>
        <w:rPr>
          <w:rFonts w:ascii="宋体"/>
          <w:color w:val="auto"/>
        </w:rPr>
      </w:pPr>
      <w:r>
        <w:rPr>
          <w:rFonts w:hint="eastAsia" w:ascii="宋体"/>
          <w:color w:val="auto"/>
        </w:rPr>
        <w:t>支持方式和手段</w:t>
      </w:r>
    </w:p>
    <w:p w14:paraId="10B51F47">
      <w:pPr>
        <w:numPr>
          <w:ilvl w:val="0"/>
          <w:numId w:val="4"/>
        </w:numPr>
        <w:tabs>
          <w:tab w:val="left" w:pos="420"/>
        </w:tabs>
        <w:ind w:firstLineChars="0"/>
        <w:rPr>
          <w:rFonts w:ascii="宋体"/>
          <w:color w:val="auto"/>
        </w:rPr>
      </w:pPr>
      <w:r>
        <w:rPr>
          <w:rFonts w:hint="eastAsia" w:ascii="宋体"/>
          <w:color w:val="auto"/>
        </w:rPr>
        <w:t>热线电话</w:t>
      </w:r>
      <w:r>
        <w:rPr>
          <w:rFonts w:hint="eastAsia" w:ascii="宋体"/>
          <w:color w:val="auto"/>
        </w:rPr>
        <w:br w:type="textWrapping"/>
      </w:r>
      <w:r>
        <w:rPr>
          <w:rFonts w:hint="eastAsia" w:ascii="宋体"/>
          <w:color w:val="auto"/>
        </w:rPr>
        <w:t>针对具体业务过程中产生的各种技术咨询，开设专线，提供7*24小时的技术服务支持。</w:t>
      </w:r>
    </w:p>
    <w:p w14:paraId="0F7D9C4C">
      <w:pPr>
        <w:numPr>
          <w:ilvl w:val="0"/>
          <w:numId w:val="4"/>
        </w:numPr>
        <w:tabs>
          <w:tab w:val="left" w:pos="420"/>
        </w:tabs>
        <w:ind w:firstLineChars="0"/>
        <w:rPr>
          <w:rFonts w:ascii="宋体"/>
          <w:color w:val="auto"/>
        </w:rPr>
      </w:pPr>
      <w:r>
        <w:rPr>
          <w:rFonts w:hint="eastAsia" w:ascii="宋体"/>
          <w:color w:val="auto"/>
        </w:rPr>
        <w:t>E-mail</w:t>
      </w:r>
      <w:r>
        <w:rPr>
          <w:rFonts w:hint="eastAsia" w:ascii="宋体"/>
          <w:color w:val="auto"/>
        </w:rPr>
        <w:br w:type="textWrapping"/>
      </w:r>
      <w:r>
        <w:rPr>
          <w:rFonts w:hint="eastAsia" w:ascii="宋体"/>
          <w:color w:val="auto"/>
        </w:rPr>
        <w:t>客户建议、意见及技术支持同样可以通过</w:t>
      </w:r>
      <w:r>
        <w:rPr>
          <w:rFonts w:hint="eastAsia" w:ascii="宋体"/>
          <w:color w:val="auto"/>
          <w:u w:val="single"/>
        </w:rPr>
        <w:t xml:space="preserve">    XXXXX公司（乙方）  </w:t>
      </w:r>
      <w:r>
        <w:rPr>
          <w:rFonts w:hint="eastAsia" w:ascii="宋体"/>
          <w:color w:val="auto"/>
        </w:rPr>
        <w:t>提供的服务支持电子信箱获得响应，我们将做出详细、全面的服务解答，在半天内给予E-mail回复。</w:t>
      </w:r>
    </w:p>
    <w:p w14:paraId="60E1B73F">
      <w:pPr>
        <w:numPr>
          <w:ilvl w:val="0"/>
          <w:numId w:val="4"/>
        </w:numPr>
        <w:tabs>
          <w:tab w:val="left" w:pos="420"/>
        </w:tabs>
        <w:ind w:firstLineChars="0"/>
        <w:rPr>
          <w:rFonts w:ascii="宋体"/>
          <w:color w:val="auto"/>
        </w:rPr>
      </w:pPr>
      <w:r>
        <w:rPr>
          <w:rFonts w:hint="eastAsia" w:ascii="宋体"/>
          <w:color w:val="auto"/>
        </w:rPr>
        <w:t>远程登录</w:t>
      </w:r>
      <w:r>
        <w:rPr>
          <w:rFonts w:hint="eastAsia" w:ascii="宋体"/>
          <w:color w:val="auto"/>
        </w:rPr>
        <w:br w:type="textWrapping"/>
      </w:r>
      <w:r>
        <w:rPr>
          <w:rFonts w:hint="eastAsia" w:ascii="宋体"/>
          <w:color w:val="auto"/>
        </w:rPr>
        <w:t>对客户所遇到技术问题可以在客户条件许可的情况下进行远程访问排除故障，以方便客户能够及时解决疑难杂症。</w:t>
      </w:r>
    </w:p>
    <w:p w14:paraId="4E3FC919">
      <w:pPr>
        <w:numPr>
          <w:ilvl w:val="0"/>
          <w:numId w:val="4"/>
        </w:numPr>
        <w:tabs>
          <w:tab w:val="left" w:pos="420"/>
        </w:tabs>
        <w:ind w:firstLineChars="0"/>
        <w:rPr>
          <w:rFonts w:ascii="宋体"/>
          <w:color w:val="auto"/>
        </w:rPr>
      </w:pPr>
      <w:r>
        <w:rPr>
          <w:rFonts w:hint="eastAsia" w:ascii="宋体"/>
          <w:color w:val="auto"/>
        </w:rPr>
        <w:t>现场支持</w:t>
      </w:r>
      <w:r>
        <w:rPr>
          <w:rFonts w:hint="eastAsia" w:ascii="宋体"/>
          <w:color w:val="auto"/>
        </w:rPr>
        <w:br w:type="textWrapping"/>
      </w:r>
      <w:r>
        <w:rPr>
          <w:rFonts w:hint="eastAsia" w:ascii="宋体"/>
          <w:color w:val="auto"/>
        </w:rPr>
        <w:t>对于重大故障或者无法通过远程登录排除的故障，将安排工程师前往现场进行处理，使客户在最短的时间内解决故障，减少故障历时，从而最大限度地减少客户损失，保证在</w:t>
      </w:r>
      <w:r>
        <w:rPr>
          <w:rFonts w:ascii="宋体"/>
          <w:color w:val="auto"/>
        </w:rPr>
        <w:t>2</w:t>
      </w:r>
      <w:r>
        <w:rPr>
          <w:rFonts w:hint="eastAsia" w:ascii="宋体"/>
          <w:color w:val="auto"/>
        </w:rPr>
        <w:t>小时内到现场。</w:t>
      </w:r>
    </w:p>
    <w:p w14:paraId="00129C6D">
      <w:pPr>
        <w:numPr>
          <w:ilvl w:val="0"/>
          <w:numId w:val="4"/>
        </w:numPr>
        <w:tabs>
          <w:tab w:val="left" w:pos="420"/>
        </w:tabs>
        <w:ind w:firstLineChars="0"/>
        <w:rPr>
          <w:rFonts w:ascii="宋体"/>
          <w:color w:val="auto"/>
        </w:rPr>
      </w:pPr>
      <w:r>
        <w:rPr>
          <w:rFonts w:hint="eastAsia" w:ascii="宋体"/>
          <w:color w:val="auto"/>
        </w:rPr>
        <w:t>运行日志定期检查</w:t>
      </w:r>
      <w:r>
        <w:rPr>
          <w:rFonts w:hint="eastAsia" w:ascii="宋体"/>
          <w:color w:val="auto"/>
        </w:rPr>
        <w:br w:type="textWrapping"/>
      </w:r>
      <w:r>
        <w:rPr>
          <w:rFonts w:hint="eastAsia" w:ascii="宋体"/>
          <w:color w:val="auto"/>
        </w:rPr>
        <w:t>最好的服务方式是提前发现问题，将问题解决于发生前，在</w:t>
      </w:r>
      <w:r>
        <w:rPr>
          <w:rStyle w:val="60"/>
          <w:rFonts w:hint="eastAsia" w:ascii="宋体"/>
          <w:color w:val="auto"/>
          <w:kern w:val="0"/>
        </w:rPr>
        <w:t>乙方</w:t>
      </w:r>
      <w:r>
        <w:rPr>
          <w:rFonts w:hint="eastAsia" w:ascii="宋体"/>
          <w:color w:val="auto"/>
        </w:rPr>
        <w:t>实施的系统中，提供了相关的运行日志，通过和客户的协商，通过客户定期提供的运行日志，可实现定期的日志检查，可以提前发现系统的运行问题，以起到防患于未然的效果。</w:t>
      </w:r>
    </w:p>
    <w:p w14:paraId="6507BAFE">
      <w:pPr>
        <w:numPr>
          <w:ilvl w:val="0"/>
          <w:numId w:val="4"/>
        </w:numPr>
        <w:tabs>
          <w:tab w:val="left" w:pos="420"/>
        </w:tabs>
        <w:ind w:firstLineChars="0"/>
        <w:rPr>
          <w:rFonts w:ascii="宋体"/>
          <w:color w:val="auto"/>
        </w:rPr>
      </w:pPr>
      <w:r>
        <w:rPr>
          <w:rFonts w:hint="eastAsia" w:ascii="宋体"/>
          <w:color w:val="auto"/>
        </w:rPr>
        <w:t>故障处理流程</w:t>
      </w:r>
    </w:p>
    <w:p w14:paraId="5D31E8F3">
      <w:pPr>
        <w:ind w:left="420" w:firstLine="420"/>
        <w:rPr>
          <w:rFonts w:ascii="宋体"/>
          <w:color w:val="auto"/>
        </w:rPr>
        <w:sectPr>
          <w:headerReference r:id="rId8" w:type="first"/>
          <w:footerReference r:id="rId11" w:type="first"/>
          <w:headerReference r:id="rId7" w:type="default"/>
          <w:footerReference r:id="rId9" w:type="default"/>
          <w:footerReference r:id="rId10" w:type="even"/>
          <w:pgSz w:w="11906" w:h="16838"/>
          <w:pgMar w:top="1440" w:right="1797" w:bottom="1440" w:left="1797" w:header="851" w:footer="992" w:gutter="0"/>
          <w:pgNumType w:fmt="decimal" w:start="1"/>
          <w:cols w:space="720" w:num="1"/>
          <w:docGrid w:type="lines" w:linePitch="326" w:charSpace="9422"/>
        </w:sectPr>
      </w:pPr>
      <w:r>
        <w:rPr>
          <w:rFonts w:hint="eastAsia" w:ascii="宋体"/>
          <w:color w:val="auto"/>
        </w:rPr>
        <w:t>通过现象定位错误原因，编写处理说明书（包含处理完成时间）。</w:t>
      </w:r>
    </w:p>
    <w:p w14:paraId="5EC2934F">
      <w:pPr>
        <w:pStyle w:val="45"/>
        <w:rPr>
          <w:rFonts w:hint="default"/>
          <w:color w:val="auto"/>
        </w:rPr>
      </w:pPr>
      <w:bookmarkStart w:id="969" w:name="_Toc63757485"/>
      <w:bookmarkStart w:id="970" w:name="_Toc84948053"/>
      <w:r>
        <w:rPr>
          <w:color w:val="auto"/>
        </w:rPr>
        <w:t>附件五：服务水平协议（SLA）</w:t>
      </w:r>
      <w:bookmarkEnd w:id="969"/>
      <w:bookmarkEnd w:id="970"/>
    </w:p>
    <w:p w14:paraId="699A2027">
      <w:pPr>
        <w:ind w:firstLine="422"/>
        <w:rPr>
          <w:rFonts w:ascii="宋体"/>
          <w:b/>
          <w:bCs/>
          <w:color w:val="auto"/>
          <w:szCs w:val="24"/>
        </w:rPr>
      </w:pPr>
      <w:bookmarkStart w:id="971" w:name="_Toc254884639"/>
      <w:r>
        <w:rPr>
          <w:rFonts w:hint="eastAsia" w:ascii="宋体"/>
          <w:b/>
          <w:bCs/>
          <w:color w:val="auto"/>
          <w:kern w:val="32"/>
          <w:szCs w:val="24"/>
        </w:rPr>
        <w:t>1. 目标</w:t>
      </w:r>
      <w:bookmarkEnd w:id="971"/>
    </w:p>
    <w:p w14:paraId="58D06BEE">
      <w:pPr>
        <w:ind w:firstLine="420"/>
        <w:rPr>
          <w:rFonts w:ascii="宋体"/>
          <w:color w:val="auto"/>
          <w:szCs w:val="24"/>
        </w:rPr>
      </w:pPr>
      <w:r>
        <w:rPr>
          <w:rFonts w:hint="eastAsia" w:ascii="宋体"/>
          <w:color w:val="auto"/>
          <w:szCs w:val="24"/>
        </w:rPr>
        <w:t>本服务水平协议（SLA）的目标是为了清晰地定义由X</w:t>
      </w:r>
      <w:r>
        <w:rPr>
          <w:rFonts w:ascii="宋体"/>
          <w:color w:val="auto"/>
          <w:szCs w:val="24"/>
        </w:rPr>
        <w:t>XXXXXXXXXXXXXXXXXX</w:t>
      </w:r>
      <w:r>
        <w:rPr>
          <w:rFonts w:hint="eastAsia" w:ascii="宋体"/>
          <w:color w:val="auto"/>
          <w:szCs w:val="24"/>
        </w:rPr>
        <w:t>公司（乙方）在本项目中为重庆三峡银行（甲方）提供的服务水平，本SLA主要：</w:t>
      </w:r>
    </w:p>
    <w:p w14:paraId="4EC97BA7">
      <w:pPr>
        <w:widowControl/>
        <w:numPr>
          <w:ilvl w:val="0"/>
          <w:numId w:val="5"/>
        </w:numPr>
        <w:ind w:firstLineChars="0"/>
        <w:jc w:val="left"/>
        <w:rPr>
          <w:rFonts w:ascii="宋体"/>
          <w:color w:val="auto"/>
          <w:szCs w:val="24"/>
        </w:rPr>
      </w:pPr>
      <w:r>
        <w:rPr>
          <w:rFonts w:hint="eastAsia" w:ascii="宋体"/>
          <w:color w:val="auto"/>
          <w:szCs w:val="24"/>
        </w:rPr>
        <w:t>明确甲方对外包乙方所提供服务水平的期望</w:t>
      </w:r>
    </w:p>
    <w:p w14:paraId="2299889E">
      <w:pPr>
        <w:widowControl/>
        <w:numPr>
          <w:ilvl w:val="0"/>
          <w:numId w:val="5"/>
        </w:numPr>
        <w:ind w:firstLineChars="0"/>
        <w:jc w:val="left"/>
        <w:rPr>
          <w:rFonts w:ascii="宋体"/>
          <w:color w:val="auto"/>
          <w:szCs w:val="24"/>
        </w:rPr>
      </w:pPr>
      <w:r>
        <w:rPr>
          <w:rFonts w:hint="eastAsia" w:ascii="宋体"/>
          <w:color w:val="auto"/>
          <w:szCs w:val="24"/>
        </w:rPr>
        <w:t>规范和加强甲方对乙方所提供服务水平的控制</w:t>
      </w:r>
    </w:p>
    <w:p w14:paraId="771ACBCB">
      <w:pPr>
        <w:ind w:firstLine="420"/>
        <w:rPr>
          <w:rFonts w:ascii="宋体"/>
          <w:color w:val="auto"/>
          <w:szCs w:val="24"/>
        </w:rPr>
      </w:pPr>
      <w:r>
        <w:rPr>
          <w:rFonts w:hint="eastAsia" w:ascii="宋体"/>
          <w:color w:val="auto"/>
          <w:szCs w:val="24"/>
        </w:rPr>
        <w:t>双方将针对本项目制定明确的职责分工表用来确定计划和管理服务水平协议的角色和职责。</w:t>
      </w:r>
    </w:p>
    <w:p w14:paraId="5A092600">
      <w:pPr>
        <w:ind w:firstLine="422"/>
        <w:rPr>
          <w:rFonts w:ascii="宋体"/>
          <w:b/>
          <w:bCs/>
          <w:color w:val="auto"/>
          <w:kern w:val="32"/>
          <w:szCs w:val="24"/>
        </w:rPr>
      </w:pPr>
      <w:bookmarkStart w:id="972" w:name="_Toc254884640"/>
      <w:r>
        <w:rPr>
          <w:rFonts w:hint="eastAsia" w:ascii="宋体"/>
          <w:b/>
          <w:bCs/>
          <w:color w:val="auto"/>
          <w:kern w:val="32"/>
          <w:szCs w:val="24"/>
        </w:rPr>
        <w:t>2. 协议期限</w:t>
      </w:r>
      <w:bookmarkEnd w:id="972"/>
    </w:p>
    <w:p w14:paraId="2C03C690">
      <w:pPr>
        <w:ind w:firstLine="371" w:firstLineChars="177"/>
        <w:rPr>
          <w:rFonts w:ascii="宋体"/>
          <w:color w:val="auto"/>
          <w:szCs w:val="24"/>
        </w:rPr>
      </w:pPr>
      <w:r>
        <w:rPr>
          <w:rFonts w:hint="eastAsia" w:ascii="宋体"/>
          <w:color w:val="auto"/>
          <w:szCs w:val="24"/>
        </w:rPr>
        <w:t>根据双方达成的一致要求，本协议的有效期从本项目实施之日起到合同正文</w:t>
      </w:r>
      <w:r>
        <w:rPr>
          <w:rFonts w:hint="eastAsia" w:ascii="宋体"/>
          <w:color w:val="auto"/>
        </w:rPr>
        <w:t>6.1承诺的</w:t>
      </w:r>
      <w:r>
        <w:rPr>
          <w:rFonts w:hint="eastAsia" w:ascii="宋体"/>
          <w:color w:val="auto"/>
          <w:szCs w:val="24"/>
        </w:rPr>
        <w:t>维护期结束。</w:t>
      </w:r>
    </w:p>
    <w:p w14:paraId="27E53FC1">
      <w:pPr>
        <w:ind w:firstLine="422"/>
        <w:rPr>
          <w:rFonts w:ascii="宋体"/>
          <w:b/>
          <w:bCs/>
          <w:color w:val="auto"/>
          <w:kern w:val="32"/>
          <w:szCs w:val="24"/>
        </w:rPr>
      </w:pPr>
      <w:bookmarkStart w:id="973" w:name="_Toc254884641"/>
      <w:r>
        <w:rPr>
          <w:rFonts w:hint="eastAsia" w:ascii="宋体"/>
          <w:b/>
          <w:bCs/>
          <w:color w:val="auto"/>
          <w:kern w:val="32"/>
          <w:szCs w:val="24"/>
        </w:rPr>
        <w:t>3. 双方职责</w:t>
      </w:r>
      <w:bookmarkEnd w:id="973"/>
    </w:p>
    <w:p w14:paraId="20CBA6DB">
      <w:pPr>
        <w:ind w:firstLine="422"/>
        <w:rPr>
          <w:rFonts w:ascii="宋体"/>
          <w:b/>
          <w:bCs/>
          <w:color w:val="auto"/>
          <w:kern w:val="32"/>
          <w:szCs w:val="24"/>
        </w:rPr>
      </w:pPr>
      <w:bookmarkStart w:id="974" w:name="_Toc254884642"/>
      <w:r>
        <w:rPr>
          <w:rFonts w:hint="eastAsia" w:ascii="宋体"/>
          <w:b/>
          <w:bCs/>
          <w:color w:val="auto"/>
          <w:kern w:val="32"/>
          <w:szCs w:val="24"/>
        </w:rPr>
        <w:t>3.1乙方</w:t>
      </w:r>
      <w:bookmarkEnd w:id="974"/>
    </w:p>
    <w:p w14:paraId="3FCCEDEF">
      <w:pPr>
        <w:ind w:firstLine="420"/>
        <w:rPr>
          <w:rFonts w:ascii="宋体"/>
          <w:color w:val="auto"/>
          <w:szCs w:val="24"/>
        </w:rPr>
      </w:pPr>
      <w:r>
        <w:rPr>
          <w:rFonts w:hint="eastAsia" w:ascii="宋体"/>
          <w:color w:val="auto"/>
          <w:szCs w:val="24"/>
        </w:rPr>
        <w:t>除本协议描述的服务水平衡量和目标外，乙方还应：</w:t>
      </w:r>
    </w:p>
    <w:p w14:paraId="33D0C384">
      <w:pPr>
        <w:widowControl/>
        <w:numPr>
          <w:ilvl w:val="0"/>
          <w:numId w:val="5"/>
        </w:numPr>
        <w:ind w:firstLineChars="0"/>
        <w:jc w:val="left"/>
        <w:rPr>
          <w:rFonts w:ascii="宋体"/>
          <w:color w:val="auto"/>
          <w:szCs w:val="24"/>
        </w:rPr>
      </w:pPr>
      <w:r>
        <w:rPr>
          <w:rFonts w:hint="eastAsia" w:ascii="宋体"/>
          <w:color w:val="auto"/>
          <w:szCs w:val="24"/>
        </w:rPr>
        <w:t>尽快向甲方管理层汇报发现的问题；</w:t>
      </w:r>
    </w:p>
    <w:p w14:paraId="6AE962B0">
      <w:pPr>
        <w:widowControl/>
        <w:numPr>
          <w:ilvl w:val="0"/>
          <w:numId w:val="5"/>
        </w:numPr>
        <w:ind w:firstLineChars="0"/>
        <w:jc w:val="left"/>
        <w:rPr>
          <w:rFonts w:ascii="宋体"/>
          <w:color w:val="auto"/>
          <w:szCs w:val="24"/>
        </w:rPr>
      </w:pPr>
      <w:r>
        <w:rPr>
          <w:rFonts w:hint="eastAsia" w:ascii="宋体"/>
          <w:color w:val="auto"/>
          <w:szCs w:val="24"/>
        </w:rPr>
        <w:t>任何可能影响SLA中规定服务的服务能力的事件，乙方应尽早向甲方提供预警信息，以及可能的影响和处置措施。事件包括：</w:t>
      </w:r>
    </w:p>
    <w:p w14:paraId="167BDB92">
      <w:pPr>
        <w:widowControl/>
        <w:numPr>
          <w:ilvl w:val="0"/>
          <w:numId w:val="6"/>
        </w:numPr>
        <w:ind w:firstLineChars="0"/>
        <w:jc w:val="left"/>
        <w:rPr>
          <w:rFonts w:ascii="宋体"/>
          <w:color w:val="auto"/>
          <w:szCs w:val="24"/>
        </w:rPr>
      </w:pPr>
      <w:r>
        <w:rPr>
          <w:rFonts w:hint="eastAsia" w:ascii="宋体"/>
          <w:color w:val="auto"/>
          <w:szCs w:val="24"/>
        </w:rPr>
        <w:t>组织架构变更</w:t>
      </w:r>
    </w:p>
    <w:p w14:paraId="28A33D97">
      <w:pPr>
        <w:widowControl/>
        <w:numPr>
          <w:ilvl w:val="0"/>
          <w:numId w:val="6"/>
        </w:numPr>
        <w:ind w:firstLineChars="0"/>
        <w:jc w:val="left"/>
        <w:rPr>
          <w:rFonts w:ascii="宋体"/>
          <w:color w:val="auto"/>
          <w:szCs w:val="24"/>
        </w:rPr>
      </w:pPr>
      <w:r>
        <w:rPr>
          <w:rFonts w:hint="eastAsia" w:ascii="宋体"/>
          <w:color w:val="auto"/>
          <w:szCs w:val="24"/>
        </w:rPr>
        <w:t>技术变更</w:t>
      </w:r>
    </w:p>
    <w:p w14:paraId="197EA39F">
      <w:pPr>
        <w:widowControl/>
        <w:numPr>
          <w:ilvl w:val="0"/>
          <w:numId w:val="6"/>
        </w:numPr>
        <w:ind w:firstLineChars="0"/>
        <w:jc w:val="left"/>
        <w:rPr>
          <w:rFonts w:ascii="宋体"/>
          <w:color w:val="auto"/>
          <w:szCs w:val="24"/>
        </w:rPr>
      </w:pPr>
      <w:r>
        <w:rPr>
          <w:rFonts w:hint="eastAsia" w:ascii="宋体"/>
          <w:color w:val="auto"/>
          <w:szCs w:val="24"/>
        </w:rPr>
        <w:t>职能变更</w:t>
      </w:r>
    </w:p>
    <w:p w14:paraId="2A57D578">
      <w:pPr>
        <w:widowControl/>
        <w:numPr>
          <w:ilvl w:val="0"/>
          <w:numId w:val="6"/>
        </w:numPr>
        <w:tabs>
          <w:tab w:val="left" w:pos="0"/>
        </w:tabs>
        <w:ind w:firstLineChars="0"/>
        <w:jc w:val="left"/>
        <w:rPr>
          <w:rFonts w:ascii="宋体"/>
          <w:color w:val="auto"/>
          <w:szCs w:val="24"/>
        </w:rPr>
      </w:pPr>
      <w:r>
        <w:rPr>
          <w:rFonts w:ascii="宋体"/>
          <w:color w:val="auto"/>
          <w:szCs w:val="24"/>
        </w:rPr>
        <w:t>其他可能影响对甲方服务的突发事件</w:t>
      </w:r>
    </w:p>
    <w:p w14:paraId="06A513BF">
      <w:pPr>
        <w:widowControl/>
        <w:numPr>
          <w:ilvl w:val="0"/>
          <w:numId w:val="5"/>
        </w:numPr>
        <w:ind w:left="709" w:hanging="229" w:firstLineChars="0"/>
        <w:jc w:val="left"/>
        <w:rPr>
          <w:rFonts w:ascii="宋体"/>
          <w:color w:val="auto"/>
          <w:szCs w:val="24"/>
        </w:rPr>
      </w:pPr>
      <w:r>
        <w:rPr>
          <w:rFonts w:hint="eastAsia" w:ascii="宋体"/>
          <w:color w:val="auto"/>
          <w:szCs w:val="24"/>
        </w:rPr>
        <w:t>协助甲方及时解决生产事件。当问题产生时，应尽快采取适当的措施识别并修复问题。</w:t>
      </w:r>
    </w:p>
    <w:p w14:paraId="05F32DE1">
      <w:pPr>
        <w:ind w:firstLine="420"/>
        <w:rPr>
          <w:rFonts w:ascii="宋体"/>
          <w:color w:val="auto"/>
          <w:szCs w:val="24"/>
        </w:rPr>
      </w:pPr>
    </w:p>
    <w:p w14:paraId="5D33B9A6">
      <w:pPr>
        <w:ind w:firstLine="422"/>
        <w:rPr>
          <w:rFonts w:ascii="宋体"/>
          <w:b/>
          <w:bCs/>
          <w:color w:val="auto"/>
          <w:kern w:val="32"/>
          <w:szCs w:val="24"/>
        </w:rPr>
      </w:pPr>
      <w:r>
        <w:rPr>
          <w:rFonts w:hint="eastAsia" w:ascii="宋体"/>
          <w:b/>
          <w:bCs/>
          <w:color w:val="auto"/>
          <w:kern w:val="32"/>
          <w:szCs w:val="24"/>
        </w:rPr>
        <w:t>3.2甲方</w:t>
      </w:r>
    </w:p>
    <w:p w14:paraId="2465F5E4">
      <w:pPr>
        <w:widowControl/>
        <w:numPr>
          <w:ilvl w:val="0"/>
          <w:numId w:val="5"/>
        </w:numPr>
        <w:ind w:left="709" w:hanging="229" w:firstLineChars="0"/>
        <w:jc w:val="left"/>
        <w:rPr>
          <w:rFonts w:ascii="宋体"/>
          <w:color w:val="auto"/>
          <w:szCs w:val="24"/>
        </w:rPr>
      </w:pPr>
      <w:r>
        <w:rPr>
          <w:rFonts w:hint="eastAsia" w:ascii="宋体"/>
          <w:color w:val="auto"/>
          <w:szCs w:val="24"/>
        </w:rPr>
        <w:t>甲方将尽快将问题汇报给乙方管理层；</w:t>
      </w:r>
    </w:p>
    <w:p w14:paraId="7696E479">
      <w:pPr>
        <w:widowControl/>
        <w:numPr>
          <w:ilvl w:val="0"/>
          <w:numId w:val="5"/>
        </w:numPr>
        <w:ind w:left="709" w:hanging="229" w:firstLineChars="0"/>
        <w:jc w:val="left"/>
        <w:rPr>
          <w:rFonts w:ascii="宋体"/>
          <w:color w:val="auto"/>
          <w:szCs w:val="24"/>
        </w:rPr>
      </w:pPr>
      <w:r>
        <w:rPr>
          <w:rFonts w:hint="eastAsia" w:ascii="宋体"/>
          <w:color w:val="auto"/>
          <w:szCs w:val="24"/>
        </w:rPr>
        <w:t>提供任何可能影响乙方向甲方提供SLA中规定服务的服务能力的事件信息，包括：</w:t>
      </w:r>
    </w:p>
    <w:p w14:paraId="15C7DC16">
      <w:pPr>
        <w:widowControl/>
        <w:numPr>
          <w:ilvl w:val="0"/>
          <w:numId w:val="6"/>
        </w:numPr>
        <w:ind w:firstLineChars="0"/>
        <w:jc w:val="left"/>
        <w:rPr>
          <w:rFonts w:ascii="宋体"/>
          <w:color w:val="auto"/>
          <w:szCs w:val="24"/>
        </w:rPr>
      </w:pPr>
      <w:r>
        <w:rPr>
          <w:rFonts w:hint="eastAsia" w:ascii="宋体"/>
          <w:color w:val="auto"/>
          <w:szCs w:val="24"/>
        </w:rPr>
        <w:t>组织架构变更</w:t>
      </w:r>
    </w:p>
    <w:p w14:paraId="2F5301A6">
      <w:pPr>
        <w:widowControl/>
        <w:numPr>
          <w:ilvl w:val="0"/>
          <w:numId w:val="6"/>
        </w:numPr>
        <w:ind w:firstLineChars="0"/>
        <w:jc w:val="left"/>
        <w:rPr>
          <w:rFonts w:ascii="宋体"/>
          <w:color w:val="auto"/>
          <w:szCs w:val="24"/>
        </w:rPr>
      </w:pPr>
      <w:r>
        <w:rPr>
          <w:rFonts w:hint="eastAsia" w:ascii="宋体"/>
          <w:color w:val="auto"/>
          <w:szCs w:val="24"/>
        </w:rPr>
        <w:t>技术变更</w:t>
      </w:r>
    </w:p>
    <w:p w14:paraId="1E7305FD">
      <w:pPr>
        <w:widowControl/>
        <w:numPr>
          <w:ilvl w:val="0"/>
          <w:numId w:val="6"/>
        </w:numPr>
        <w:ind w:firstLineChars="0"/>
        <w:jc w:val="left"/>
        <w:rPr>
          <w:rFonts w:ascii="宋体"/>
          <w:color w:val="auto"/>
          <w:szCs w:val="24"/>
        </w:rPr>
      </w:pPr>
      <w:r>
        <w:rPr>
          <w:rFonts w:hint="eastAsia" w:ascii="宋体"/>
          <w:color w:val="auto"/>
          <w:szCs w:val="24"/>
        </w:rPr>
        <w:t>职能变更</w:t>
      </w:r>
    </w:p>
    <w:p w14:paraId="3DB975BB">
      <w:pPr>
        <w:ind w:firstLine="422"/>
        <w:rPr>
          <w:rFonts w:ascii="宋体"/>
          <w:b/>
          <w:bCs/>
          <w:color w:val="auto"/>
          <w:kern w:val="32"/>
          <w:szCs w:val="24"/>
        </w:rPr>
      </w:pPr>
      <w:bookmarkStart w:id="975" w:name="_Toc254884644"/>
      <w:r>
        <w:rPr>
          <w:rFonts w:hint="eastAsia" w:ascii="宋体"/>
          <w:b/>
          <w:bCs/>
          <w:color w:val="auto"/>
          <w:kern w:val="32"/>
          <w:szCs w:val="24"/>
        </w:rPr>
        <w:t>4. 服务内容</w:t>
      </w:r>
      <w:bookmarkEnd w:id="975"/>
    </w:p>
    <w:tbl>
      <w:tblPr>
        <w:tblStyle w:val="19"/>
        <w:tblW w:w="8897"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56"/>
        <w:gridCol w:w="1978"/>
        <w:gridCol w:w="5863"/>
      </w:tblGrid>
      <w:tr w14:paraId="34BCD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8897" w:type="dxa"/>
            <w:gridSpan w:val="3"/>
            <w:tcBorders>
              <w:tl2br w:val="nil"/>
              <w:tr2bl w:val="nil"/>
            </w:tcBorders>
            <w:vAlign w:val="center"/>
          </w:tcPr>
          <w:p w14:paraId="0EE650F7">
            <w:pPr>
              <w:pStyle w:val="43"/>
              <w:ind w:firstLine="420"/>
              <w:rPr>
                <w:color w:val="auto"/>
              </w:rPr>
            </w:pPr>
            <w:r>
              <w:rPr>
                <w:rFonts w:hint="eastAsia"/>
                <w:color w:val="auto"/>
              </w:rPr>
              <w:t>4.1技术管理</w:t>
            </w:r>
          </w:p>
        </w:tc>
      </w:tr>
      <w:tr w14:paraId="37FFC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1" w:hRule="exact"/>
        </w:trPr>
        <w:tc>
          <w:tcPr>
            <w:tcW w:w="816" w:type="dxa"/>
            <w:tcBorders>
              <w:tl2br w:val="nil"/>
              <w:tr2bl w:val="nil"/>
            </w:tcBorders>
            <w:vAlign w:val="center"/>
          </w:tcPr>
          <w:p w14:paraId="4BD96F68">
            <w:pPr>
              <w:pStyle w:val="43"/>
              <w:ind w:firstLine="420"/>
              <w:rPr>
                <w:color w:val="auto"/>
              </w:rPr>
            </w:pPr>
            <w:r>
              <w:rPr>
                <w:rFonts w:hint="eastAsia"/>
                <w:color w:val="auto"/>
              </w:rPr>
              <w:t>4.1.1</w:t>
            </w:r>
          </w:p>
        </w:tc>
        <w:tc>
          <w:tcPr>
            <w:tcW w:w="2022" w:type="dxa"/>
            <w:tcBorders>
              <w:tl2br w:val="nil"/>
              <w:tr2bl w:val="nil"/>
            </w:tcBorders>
            <w:vAlign w:val="center"/>
          </w:tcPr>
          <w:p w14:paraId="6F93B4AE">
            <w:pPr>
              <w:pStyle w:val="43"/>
              <w:ind w:firstLine="420"/>
              <w:rPr>
                <w:color w:val="auto"/>
              </w:rPr>
            </w:pPr>
            <w:r>
              <w:rPr>
                <w:rFonts w:hint="eastAsia"/>
                <w:color w:val="auto"/>
              </w:rPr>
              <w:t>项目执行控制</w:t>
            </w:r>
          </w:p>
        </w:tc>
        <w:tc>
          <w:tcPr>
            <w:tcW w:w="6059" w:type="dxa"/>
            <w:tcBorders>
              <w:tl2br w:val="nil"/>
              <w:tr2bl w:val="nil"/>
            </w:tcBorders>
            <w:vAlign w:val="center"/>
          </w:tcPr>
          <w:p w14:paraId="1087777E">
            <w:pPr>
              <w:pStyle w:val="43"/>
              <w:ind w:firstLine="420"/>
              <w:rPr>
                <w:color w:val="auto"/>
              </w:rPr>
            </w:pPr>
            <w:r>
              <w:rPr>
                <w:rFonts w:hint="eastAsia"/>
                <w:color w:val="auto"/>
              </w:rPr>
              <w:t>管理目标、沟通和范围</w:t>
            </w:r>
          </w:p>
        </w:tc>
      </w:tr>
      <w:tr w14:paraId="02EC7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exact"/>
        </w:trPr>
        <w:tc>
          <w:tcPr>
            <w:tcW w:w="816" w:type="dxa"/>
            <w:tcBorders>
              <w:tl2br w:val="nil"/>
              <w:tr2bl w:val="nil"/>
            </w:tcBorders>
            <w:vAlign w:val="center"/>
          </w:tcPr>
          <w:p w14:paraId="6BB6FAFD">
            <w:pPr>
              <w:pStyle w:val="54"/>
              <w:rPr>
                <w:rFonts w:hint="default"/>
                <w:color w:val="auto"/>
              </w:rPr>
            </w:pPr>
            <w:r>
              <w:rPr>
                <w:color w:val="auto"/>
              </w:rPr>
              <w:t>4.1.2</w:t>
            </w:r>
          </w:p>
        </w:tc>
        <w:tc>
          <w:tcPr>
            <w:tcW w:w="2022" w:type="dxa"/>
            <w:tcBorders>
              <w:tl2br w:val="nil"/>
              <w:tr2bl w:val="nil"/>
            </w:tcBorders>
            <w:vAlign w:val="center"/>
          </w:tcPr>
          <w:p w14:paraId="65C7B0DF">
            <w:pPr>
              <w:pStyle w:val="54"/>
              <w:rPr>
                <w:rFonts w:hint="default"/>
                <w:color w:val="auto"/>
              </w:rPr>
            </w:pPr>
            <w:r>
              <w:rPr>
                <w:color w:val="auto"/>
              </w:rPr>
              <w:t>系统部署</w:t>
            </w:r>
          </w:p>
        </w:tc>
        <w:tc>
          <w:tcPr>
            <w:tcW w:w="6059" w:type="dxa"/>
            <w:tcBorders>
              <w:tl2br w:val="nil"/>
              <w:tr2bl w:val="nil"/>
            </w:tcBorders>
            <w:vAlign w:val="center"/>
          </w:tcPr>
          <w:p w14:paraId="38D949AE">
            <w:pPr>
              <w:pStyle w:val="43"/>
              <w:ind w:firstLine="420"/>
              <w:rPr>
                <w:color w:val="auto"/>
              </w:rPr>
            </w:pPr>
            <w:r>
              <w:rPr>
                <w:rFonts w:hint="eastAsia"/>
                <w:color w:val="auto"/>
              </w:rPr>
              <w:t>在甲方所提供的技术环境内配置和部署系统接入所需的资源</w:t>
            </w:r>
          </w:p>
        </w:tc>
      </w:tr>
      <w:tr w14:paraId="69ED1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exact"/>
        </w:trPr>
        <w:tc>
          <w:tcPr>
            <w:tcW w:w="816" w:type="dxa"/>
            <w:tcBorders>
              <w:tl2br w:val="nil"/>
              <w:tr2bl w:val="nil"/>
            </w:tcBorders>
            <w:vAlign w:val="center"/>
          </w:tcPr>
          <w:p w14:paraId="4580FBA4">
            <w:pPr>
              <w:pStyle w:val="54"/>
              <w:rPr>
                <w:rFonts w:hint="default"/>
                <w:color w:val="auto"/>
              </w:rPr>
            </w:pPr>
            <w:r>
              <w:rPr>
                <w:color w:val="auto"/>
              </w:rPr>
              <w:t>4.1.3</w:t>
            </w:r>
          </w:p>
        </w:tc>
        <w:tc>
          <w:tcPr>
            <w:tcW w:w="2022" w:type="dxa"/>
            <w:tcBorders>
              <w:tl2br w:val="nil"/>
              <w:tr2bl w:val="nil"/>
            </w:tcBorders>
            <w:vAlign w:val="center"/>
          </w:tcPr>
          <w:p w14:paraId="0042AC3C">
            <w:pPr>
              <w:pStyle w:val="54"/>
              <w:rPr>
                <w:rFonts w:hint="default"/>
                <w:color w:val="auto"/>
              </w:rPr>
            </w:pPr>
            <w:r>
              <w:rPr>
                <w:color w:val="auto"/>
              </w:rPr>
              <w:t>管理系统</w:t>
            </w:r>
          </w:p>
        </w:tc>
        <w:tc>
          <w:tcPr>
            <w:tcW w:w="6059" w:type="dxa"/>
            <w:tcBorders>
              <w:tl2br w:val="nil"/>
              <w:tr2bl w:val="nil"/>
            </w:tcBorders>
            <w:vAlign w:val="center"/>
          </w:tcPr>
          <w:p w14:paraId="18D62243">
            <w:pPr>
              <w:pStyle w:val="43"/>
              <w:ind w:firstLine="420"/>
              <w:rPr>
                <w:color w:val="auto"/>
              </w:rPr>
            </w:pPr>
            <w:r>
              <w:rPr>
                <w:rFonts w:hint="eastAsia"/>
                <w:color w:val="auto"/>
              </w:rPr>
              <w:t>管理运行过程中的各个环节和环境（如测试、培训、维护等）</w:t>
            </w:r>
          </w:p>
        </w:tc>
      </w:tr>
      <w:tr w14:paraId="5BC1E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tcBorders>
              <w:tl2br w:val="nil"/>
              <w:tr2bl w:val="nil"/>
            </w:tcBorders>
            <w:vAlign w:val="center"/>
          </w:tcPr>
          <w:p w14:paraId="48360746">
            <w:pPr>
              <w:pStyle w:val="43"/>
              <w:ind w:firstLine="420"/>
              <w:rPr>
                <w:color w:val="auto"/>
              </w:rPr>
            </w:pPr>
            <w:r>
              <w:rPr>
                <w:rFonts w:hint="eastAsia"/>
                <w:color w:val="auto"/>
              </w:rPr>
              <w:t>4.2系统处理</w:t>
            </w:r>
          </w:p>
        </w:tc>
      </w:tr>
      <w:tr w14:paraId="76BB0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16" w:type="dxa"/>
            <w:tcBorders>
              <w:tl2br w:val="nil"/>
              <w:tr2bl w:val="nil"/>
            </w:tcBorders>
            <w:vAlign w:val="center"/>
          </w:tcPr>
          <w:p w14:paraId="3A094C1B">
            <w:pPr>
              <w:pStyle w:val="54"/>
              <w:rPr>
                <w:rFonts w:hint="default"/>
                <w:color w:val="auto"/>
              </w:rPr>
            </w:pPr>
            <w:r>
              <w:rPr>
                <w:color w:val="auto"/>
              </w:rPr>
              <w:t>4.2.1</w:t>
            </w:r>
          </w:p>
        </w:tc>
        <w:tc>
          <w:tcPr>
            <w:tcW w:w="2022" w:type="dxa"/>
            <w:tcBorders>
              <w:tl2br w:val="nil"/>
              <w:tr2bl w:val="nil"/>
            </w:tcBorders>
            <w:vAlign w:val="center"/>
          </w:tcPr>
          <w:p w14:paraId="11B988EB">
            <w:pPr>
              <w:pStyle w:val="54"/>
              <w:rPr>
                <w:rFonts w:hint="default"/>
                <w:color w:val="auto"/>
              </w:rPr>
            </w:pPr>
            <w:r>
              <w:rPr>
                <w:color w:val="auto"/>
              </w:rPr>
              <w:t>备份</w:t>
            </w:r>
          </w:p>
        </w:tc>
        <w:tc>
          <w:tcPr>
            <w:tcW w:w="6059" w:type="dxa"/>
            <w:tcBorders>
              <w:tl2br w:val="nil"/>
              <w:tr2bl w:val="nil"/>
            </w:tcBorders>
            <w:vAlign w:val="center"/>
          </w:tcPr>
          <w:p w14:paraId="15C6626F">
            <w:pPr>
              <w:pStyle w:val="43"/>
              <w:ind w:firstLine="420"/>
              <w:rPr>
                <w:color w:val="auto"/>
              </w:rPr>
            </w:pPr>
            <w:r>
              <w:rPr>
                <w:rFonts w:hint="eastAsia"/>
                <w:color w:val="auto"/>
              </w:rPr>
              <w:t>提供数据容量规划咨询，设计系统的备份策略，完成其有效性验证</w:t>
            </w:r>
          </w:p>
        </w:tc>
      </w:tr>
      <w:tr w14:paraId="54ABA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816" w:type="dxa"/>
            <w:tcBorders>
              <w:tl2br w:val="nil"/>
              <w:tr2bl w:val="nil"/>
            </w:tcBorders>
            <w:vAlign w:val="center"/>
          </w:tcPr>
          <w:p w14:paraId="7FD2D782">
            <w:pPr>
              <w:pStyle w:val="54"/>
              <w:rPr>
                <w:rFonts w:hint="default"/>
                <w:color w:val="auto"/>
              </w:rPr>
            </w:pPr>
            <w:r>
              <w:rPr>
                <w:color w:val="auto"/>
              </w:rPr>
              <w:t>4.2.2</w:t>
            </w:r>
          </w:p>
        </w:tc>
        <w:tc>
          <w:tcPr>
            <w:tcW w:w="2022" w:type="dxa"/>
            <w:tcBorders>
              <w:tl2br w:val="nil"/>
              <w:tr2bl w:val="nil"/>
            </w:tcBorders>
            <w:vAlign w:val="center"/>
          </w:tcPr>
          <w:p w14:paraId="56A28C16">
            <w:pPr>
              <w:pStyle w:val="54"/>
              <w:rPr>
                <w:rFonts w:hint="default"/>
                <w:color w:val="auto"/>
              </w:rPr>
            </w:pPr>
            <w:r>
              <w:rPr>
                <w:color w:val="auto"/>
              </w:rPr>
              <w:t>恢复</w:t>
            </w:r>
          </w:p>
        </w:tc>
        <w:tc>
          <w:tcPr>
            <w:tcW w:w="6059" w:type="dxa"/>
            <w:tcBorders>
              <w:tl2br w:val="nil"/>
              <w:tr2bl w:val="nil"/>
            </w:tcBorders>
            <w:vAlign w:val="center"/>
          </w:tcPr>
          <w:p w14:paraId="34E51D8E">
            <w:pPr>
              <w:pStyle w:val="43"/>
              <w:ind w:firstLine="420"/>
              <w:rPr>
                <w:color w:val="auto"/>
              </w:rPr>
            </w:pPr>
            <w:r>
              <w:rPr>
                <w:rFonts w:hint="eastAsia"/>
                <w:color w:val="auto"/>
              </w:rPr>
              <w:t>设计系统的恢复策略，完成其有效性验证</w:t>
            </w:r>
          </w:p>
        </w:tc>
      </w:tr>
      <w:tr w14:paraId="0AEF9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tcBorders>
              <w:tl2br w:val="nil"/>
              <w:tr2bl w:val="nil"/>
            </w:tcBorders>
            <w:vAlign w:val="center"/>
          </w:tcPr>
          <w:p w14:paraId="58AD49A8">
            <w:pPr>
              <w:pStyle w:val="43"/>
              <w:ind w:firstLine="420"/>
              <w:rPr>
                <w:color w:val="auto"/>
              </w:rPr>
            </w:pPr>
            <w:r>
              <w:rPr>
                <w:rFonts w:hint="eastAsia"/>
                <w:color w:val="auto"/>
              </w:rPr>
              <w:t>4.3软件开发及测试</w:t>
            </w:r>
          </w:p>
        </w:tc>
      </w:tr>
      <w:tr w14:paraId="6071F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exact"/>
        </w:trPr>
        <w:tc>
          <w:tcPr>
            <w:tcW w:w="816" w:type="dxa"/>
            <w:tcBorders>
              <w:tl2br w:val="nil"/>
              <w:tr2bl w:val="nil"/>
            </w:tcBorders>
            <w:vAlign w:val="center"/>
          </w:tcPr>
          <w:p w14:paraId="249EC71F">
            <w:pPr>
              <w:pStyle w:val="54"/>
              <w:rPr>
                <w:rFonts w:hint="default"/>
                <w:color w:val="auto"/>
              </w:rPr>
            </w:pPr>
            <w:r>
              <w:rPr>
                <w:color w:val="auto"/>
              </w:rPr>
              <w:t>4.3.1</w:t>
            </w:r>
          </w:p>
        </w:tc>
        <w:tc>
          <w:tcPr>
            <w:tcW w:w="2022" w:type="dxa"/>
            <w:tcBorders>
              <w:tl2br w:val="nil"/>
              <w:tr2bl w:val="nil"/>
            </w:tcBorders>
            <w:vAlign w:val="center"/>
          </w:tcPr>
          <w:p w14:paraId="7A49C693">
            <w:pPr>
              <w:pStyle w:val="54"/>
              <w:rPr>
                <w:rFonts w:hint="default"/>
                <w:color w:val="auto"/>
              </w:rPr>
            </w:pPr>
            <w:r>
              <w:rPr>
                <w:color w:val="auto"/>
              </w:rPr>
              <w:t>软件管理</w:t>
            </w:r>
          </w:p>
        </w:tc>
        <w:tc>
          <w:tcPr>
            <w:tcW w:w="6059" w:type="dxa"/>
            <w:tcBorders>
              <w:tl2br w:val="nil"/>
              <w:tr2bl w:val="nil"/>
            </w:tcBorders>
            <w:vAlign w:val="center"/>
          </w:tcPr>
          <w:p w14:paraId="7B53FF31">
            <w:pPr>
              <w:pStyle w:val="43"/>
              <w:ind w:firstLine="420"/>
              <w:rPr>
                <w:color w:val="auto"/>
              </w:rPr>
            </w:pPr>
            <w:r>
              <w:rPr>
                <w:rFonts w:hint="eastAsia"/>
                <w:color w:val="auto"/>
              </w:rPr>
              <w:t>负责管理和设计应用软件，配合进行软件过程开发管理</w:t>
            </w:r>
          </w:p>
        </w:tc>
      </w:tr>
      <w:tr w14:paraId="39DCC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exact"/>
        </w:trPr>
        <w:tc>
          <w:tcPr>
            <w:tcW w:w="816" w:type="dxa"/>
            <w:tcBorders>
              <w:tl2br w:val="nil"/>
              <w:tr2bl w:val="nil"/>
            </w:tcBorders>
            <w:vAlign w:val="center"/>
          </w:tcPr>
          <w:p w14:paraId="0FF0A487">
            <w:pPr>
              <w:pStyle w:val="54"/>
              <w:rPr>
                <w:rFonts w:hint="default"/>
                <w:color w:val="auto"/>
              </w:rPr>
            </w:pPr>
            <w:r>
              <w:rPr>
                <w:color w:val="auto"/>
              </w:rPr>
              <w:t>4.3.2</w:t>
            </w:r>
          </w:p>
        </w:tc>
        <w:tc>
          <w:tcPr>
            <w:tcW w:w="2022" w:type="dxa"/>
            <w:tcBorders>
              <w:tl2br w:val="nil"/>
              <w:tr2bl w:val="nil"/>
            </w:tcBorders>
            <w:vAlign w:val="center"/>
          </w:tcPr>
          <w:p w14:paraId="1DE48358">
            <w:pPr>
              <w:pStyle w:val="54"/>
              <w:rPr>
                <w:rFonts w:hint="default"/>
                <w:color w:val="auto"/>
              </w:rPr>
            </w:pPr>
            <w:r>
              <w:rPr>
                <w:color w:val="auto"/>
              </w:rPr>
              <w:t>系统接口开发</w:t>
            </w:r>
          </w:p>
        </w:tc>
        <w:tc>
          <w:tcPr>
            <w:tcW w:w="6059" w:type="dxa"/>
            <w:tcBorders>
              <w:tl2br w:val="nil"/>
              <w:tr2bl w:val="nil"/>
            </w:tcBorders>
            <w:vAlign w:val="center"/>
          </w:tcPr>
          <w:p w14:paraId="628F9890">
            <w:pPr>
              <w:pStyle w:val="43"/>
              <w:ind w:firstLine="420"/>
              <w:rPr>
                <w:color w:val="auto"/>
              </w:rPr>
            </w:pPr>
            <w:r>
              <w:rPr>
                <w:rFonts w:hint="eastAsia"/>
                <w:color w:val="auto"/>
              </w:rPr>
              <w:t>设计和开发系统内部各模块的接口以及与外部系统进行数据交互的接口</w:t>
            </w:r>
          </w:p>
        </w:tc>
      </w:tr>
      <w:tr w14:paraId="562D1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exact"/>
        </w:trPr>
        <w:tc>
          <w:tcPr>
            <w:tcW w:w="816" w:type="dxa"/>
            <w:tcBorders>
              <w:tl2br w:val="nil"/>
              <w:tr2bl w:val="nil"/>
            </w:tcBorders>
            <w:vAlign w:val="center"/>
          </w:tcPr>
          <w:p w14:paraId="6582226D">
            <w:pPr>
              <w:pStyle w:val="54"/>
              <w:rPr>
                <w:rFonts w:hint="default"/>
                <w:color w:val="auto"/>
              </w:rPr>
            </w:pPr>
            <w:r>
              <w:rPr>
                <w:color w:val="auto"/>
              </w:rPr>
              <w:t>4.3.3</w:t>
            </w:r>
          </w:p>
        </w:tc>
        <w:tc>
          <w:tcPr>
            <w:tcW w:w="2022" w:type="dxa"/>
            <w:tcBorders>
              <w:tl2br w:val="nil"/>
              <w:tr2bl w:val="nil"/>
            </w:tcBorders>
            <w:vAlign w:val="center"/>
          </w:tcPr>
          <w:p w14:paraId="4C6FA157">
            <w:pPr>
              <w:pStyle w:val="54"/>
              <w:rPr>
                <w:rFonts w:hint="default"/>
                <w:color w:val="auto"/>
              </w:rPr>
            </w:pPr>
            <w:r>
              <w:rPr>
                <w:color w:val="auto"/>
              </w:rPr>
              <w:t>代码开发和测试</w:t>
            </w:r>
          </w:p>
        </w:tc>
        <w:tc>
          <w:tcPr>
            <w:tcW w:w="6059" w:type="dxa"/>
            <w:tcBorders>
              <w:tl2br w:val="nil"/>
              <w:tr2bl w:val="nil"/>
            </w:tcBorders>
            <w:vAlign w:val="center"/>
          </w:tcPr>
          <w:p w14:paraId="718D561A">
            <w:pPr>
              <w:pStyle w:val="43"/>
              <w:ind w:firstLine="420"/>
              <w:rPr>
                <w:color w:val="auto"/>
              </w:rPr>
            </w:pPr>
            <w:r>
              <w:rPr>
                <w:rFonts w:hint="eastAsia"/>
                <w:color w:val="auto"/>
              </w:rPr>
              <w:t>编写代码并且完成开发自测与系统测试</w:t>
            </w:r>
          </w:p>
        </w:tc>
      </w:tr>
      <w:tr w14:paraId="486DE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exact"/>
        </w:trPr>
        <w:tc>
          <w:tcPr>
            <w:tcW w:w="816" w:type="dxa"/>
            <w:tcBorders>
              <w:tl2br w:val="nil"/>
              <w:tr2bl w:val="nil"/>
            </w:tcBorders>
            <w:vAlign w:val="center"/>
          </w:tcPr>
          <w:p w14:paraId="1B225B79">
            <w:pPr>
              <w:pStyle w:val="54"/>
              <w:rPr>
                <w:rFonts w:hint="default"/>
                <w:color w:val="auto"/>
              </w:rPr>
            </w:pPr>
            <w:r>
              <w:rPr>
                <w:color w:val="auto"/>
              </w:rPr>
              <w:t>4.3.4</w:t>
            </w:r>
          </w:p>
        </w:tc>
        <w:tc>
          <w:tcPr>
            <w:tcW w:w="2022" w:type="dxa"/>
            <w:tcBorders>
              <w:tl2br w:val="nil"/>
              <w:tr2bl w:val="nil"/>
            </w:tcBorders>
            <w:vAlign w:val="center"/>
          </w:tcPr>
          <w:p w14:paraId="101BF1D9">
            <w:pPr>
              <w:pStyle w:val="54"/>
              <w:rPr>
                <w:rFonts w:hint="default"/>
                <w:color w:val="auto"/>
              </w:rPr>
            </w:pPr>
            <w:r>
              <w:rPr>
                <w:color w:val="auto"/>
              </w:rPr>
              <w:t>知识转移</w:t>
            </w:r>
          </w:p>
        </w:tc>
        <w:tc>
          <w:tcPr>
            <w:tcW w:w="6059" w:type="dxa"/>
            <w:tcBorders>
              <w:tl2br w:val="nil"/>
              <w:tr2bl w:val="nil"/>
            </w:tcBorders>
            <w:vAlign w:val="center"/>
          </w:tcPr>
          <w:p w14:paraId="1B19D0D9">
            <w:pPr>
              <w:pStyle w:val="43"/>
              <w:ind w:firstLine="420"/>
              <w:rPr>
                <w:color w:val="auto"/>
              </w:rPr>
            </w:pPr>
            <w:r>
              <w:rPr>
                <w:rFonts w:hint="eastAsia"/>
                <w:color w:val="auto"/>
              </w:rPr>
              <w:t>负责现场培训</w:t>
            </w:r>
          </w:p>
        </w:tc>
      </w:tr>
      <w:tr w14:paraId="4FD90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897" w:type="dxa"/>
            <w:gridSpan w:val="3"/>
            <w:tcBorders>
              <w:tl2br w:val="nil"/>
              <w:tr2bl w:val="nil"/>
            </w:tcBorders>
            <w:vAlign w:val="center"/>
          </w:tcPr>
          <w:p w14:paraId="3B087E10">
            <w:pPr>
              <w:pStyle w:val="43"/>
              <w:ind w:firstLine="420"/>
              <w:rPr>
                <w:color w:val="auto"/>
              </w:rPr>
            </w:pPr>
            <w:r>
              <w:rPr>
                <w:rFonts w:hint="eastAsia"/>
                <w:color w:val="auto"/>
              </w:rPr>
              <w:t>4.4 支持和维护</w:t>
            </w:r>
          </w:p>
        </w:tc>
      </w:tr>
      <w:tr w14:paraId="7CDEC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exact"/>
        </w:trPr>
        <w:tc>
          <w:tcPr>
            <w:tcW w:w="816" w:type="dxa"/>
            <w:tcBorders>
              <w:tl2br w:val="nil"/>
              <w:tr2bl w:val="nil"/>
            </w:tcBorders>
            <w:vAlign w:val="center"/>
          </w:tcPr>
          <w:p w14:paraId="54E2BC05">
            <w:pPr>
              <w:pStyle w:val="54"/>
              <w:rPr>
                <w:rFonts w:hint="default"/>
                <w:color w:val="auto"/>
              </w:rPr>
            </w:pPr>
            <w:r>
              <w:rPr>
                <w:color w:val="auto"/>
              </w:rPr>
              <w:t>4.4.1</w:t>
            </w:r>
          </w:p>
        </w:tc>
        <w:tc>
          <w:tcPr>
            <w:tcW w:w="2022" w:type="dxa"/>
            <w:tcBorders>
              <w:tl2br w:val="nil"/>
              <w:tr2bl w:val="nil"/>
            </w:tcBorders>
            <w:vAlign w:val="center"/>
          </w:tcPr>
          <w:p w14:paraId="1953E2BC">
            <w:pPr>
              <w:pStyle w:val="54"/>
              <w:rPr>
                <w:rFonts w:hint="default"/>
                <w:color w:val="auto"/>
              </w:rPr>
            </w:pPr>
            <w:r>
              <w:rPr>
                <w:color w:val="auto"/>
              </w:rPr>
              <w:t>变更管理</w:t>
            </w:r>
          </w:p>
        </w:tc>
        <w:tc>
          <w:tcPr>
            <w:tcW w:w="6059" w:type="dxa"/>
            <w:tcBorders>
              <w:tl2br w:val="nil"/>
              <w:tr2bl w:val="nil"/>
            </w:tcBorders>
            <w:vAlign w:val="center"/>
          </w:tcPr>
          <w:p w14:paraId="422E14BF">
            <w:pPr>
              <w:pStyle w:val="43"/>
              <w:ind w:firstLine="420"/>
              <w:rPr>
                <w:color w:val="auto"/>
              </w:rPr>
            </w:pPr>
            <w:r>
              <w:rPr>
                <w:rFonts w:hint="eastAsia"/>
                <w:color w:val="auto"/>
              </w:rPr>
              <w:t>根据变更需求在甲方的技术环境内设计并且执行所有平台和应用软件变更程序</w:t>
            </w:r>
          </w:p>
        </w:tc>
      </w:tr>
      <w:tr w14:paraId="2E021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exact"/>
        </w:trPr>
        <w:tc>
          <w:tcPr>
            <w:tcW w:w="816" w:type="dxa"/>
            <w:tcBorders>
              <w:tl2br w:val="nil"/>
              <w:tr2bl w:val="nil"/>
            </w:tcBorders>
            <w:vAlign w:val="center"/>
          </w:tcPr>
          <w:p w14:paraId="0913BFFA">
            <w:pPr>
              <w:pStyle w:val="54"/>
              <w:rPr>
                <w:rFonts w:hint="default"/>
                <w:color w:val="auto"/>
              </w:rPr>
            </w:pPr>
            <w:r>
              <w:rPr>
                <w:color w:val="auto"/>
              </w:rPr>
              <w:t>4.4.2</w:t>
            </w:r>
          </w:p>
        </w:tc>
        <w:tc>
          <w:tcPr>
            <w:tcW w:w="2022" w:type="dxa"/>
            <w:tcBorders>
              <w:tl2br w:val="nil"/>
              <w:tr2bl w:val="nil"/>
            </w:tcBorders>
            <w:vAlign w:val="center"/>
          </w:tcPr>
          <w:p w14:paraId="55B8958A">
            <w:pPr>
              <w:pStyle w:val="54"/>
              <w:rPr>
                <w:rFonts w:hint="default"/>
                <w:color w:val="auto"/>
              </w:rPr>
            </w:pPr>
            <w:r>
              <w:rPr>
                <w:color w:val="auto"/>
              </w:rPr>
              <w:t>系统监控</w:t>
            </w:r>
          </w:p>
        </w:tc>
        <w:tc>
          <w:tcPr>
            <w:tcW w:w="6059" w:type="dxa"/>
            <w:tcBorders>
              <w:tl2br w:val="nil"/>
              <w:tr2bl w:val="nil"/>
            </w:tcBorders>
            <w:vAlign w:val="center"/>
          </w:tcPr>
          <w:p w14:paraId="254DA00F">
            <w:pPr>
              <w:pStyle w:val="43"/>
              <w:ind w:firstLine="420"/>
              <w:rPr>
                <w:color w:val="auto"/>
              </w:rPr>
            </w:pPr>
            <w:r>
              <w:rPr>
                <w:rFonts w:hint="eastAsia"/>
                <w:color w:val="auto"/>
              </w:rPr>
              <w:t>提供对系统监控的支持，包括专有硬件设备（如有）、应用系统进程、日志、连接等</w:t>
            </w:r>
          </w:p>
        </w:tc>
      </w:tr>
      <w:tr w14:paraId="590D2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exact"/>
        </w:trPr>
        <w:tc>
          <w:tcPr>
            <w:tcW w:w="816" w:type="dxa"/>
            <w:tcBorders>
              <w:tl2br w:val="nil"/>
              <w:tr2bl w:val="nil"/>
            </w:tcBorders>
            <w:vAlign w:val="center"/>
          </w:tcPr>
          <w:p w14:paraId="2199D464">
            <w:pPr>
              <w:pStyle w:val="54"/>
              <w:rPr>
                <w:rFonts w:hint="default"/>
                <w:color w:val="auto"/>
              </w:rPr>
            </w:pPr>
            <w:r>
              <w:rPr>
                <w:color w:val="auto"/>
              </w:rPr>
              <w:t>4.4.3</w:t>
            </w:r>
          </w:p>
        </w:tc>
        <w:tc>
          <w:tcPr>
            <w:tcW w:w="2022" w:type="dxa"/>
            <w:tcBorders>
              <w:tl2br w:val="nil"/>
              <w:tr2bl w:val="nil"/>
            </w:tcBorders>
            <w:vAlign w:val="center"/>
          </w:tcPr>
          <w:p w14:paraId="2575C856">
            <w:pPr>
              <w:pStyle w:val="54"/>
              <w:rPr>
                <w:rFonts w:hint="default"/>
                <w:color w:val="auto"/>
              </w:rPr>
            </w:pPr>
            <w:r>
              <w:rPr>
                <w:color w:val="auto"/>
              </w:rPr>
              <w:t>发布管理</w:t>
            </w:r>
          </w:p>
        </w:tc>
        <w:tc>
          <w:tcPr>
            <w:tcW w:w="6059" w:type="dxa"/>
            <w:tcBorders>
              <w:tl2br w:val="nil"/>
              <w:tr2bl w:val="nil"/>
            </w:tcBorders>
            <w:vAlign w:val="center"/>
          </w:tcPr>
          <w:p w14:paraId="32935413">
            <w:pPr>
              <w:pStyle w:val="43"/>
              <w:ind w:firstLine="420"/>
              <w:rPr>
                <w:color w:val="auto"/>
              </w:rPr>
            </w:pPr>
            <w:r>
              <w:rPr>
                <w:rFonts w:hint="eastAsia"/>
                <w:color w:val="auto"/>
              </w:rPr>
              <w:t>制定测试环境发布方案，协助将具体的目标系统从测试环境移植到生产的上线方案</w:t>
            </w:r>
          </w:p>
        </w:tc>
      </w:tr>
      <w:tr w14:paraId="44A4A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exact"/>
        </w:trPr>
        <w:tc>
          <w:tcPr>
            <w:tcW w:w="816" w:type="dxa"/>
            <w:tcBorders>
              <w:tl2br w:val="nil"/>
              <w:tr2bl w:val="nil"/>
            </w:tcBorders>
            <w:vAlign w:val="center"/>
          </w:tcPr>
          <w:p w14:paraId="686A862E">
            <w:pPr>
              <w:pStyle w:val="54"/>
              <w:rPr>
                <w:rFonts w:hint="default"/>
                <w:color w:val="auto"/>
              </w:rPr>
            </w:pPr>
            <w:r>
              <w:rPr>
                <w:color w:val="auto"/>
              </w:rPr>
              <w:t>4.4.4</w:t>
            </w:r>
          </w:p>
        </w:tc>
        <w:tc>
          <w:tcPr>
            <w:tcW w:w="2022" w:type="dxa"/>
            <w:tcBorders>
              <w:tl2br w:val="nil"/>
              <w:tr2bl w:val="nil"/>
            </w:tcBorders>
            <w:vAlign w:val="center"/>
          </w:tcPr>
          <w:p w14:paraId="59AA7EFB">
            <w:pPr>
              <w:pStyle w:val="54"/>
              <w:rPr>
                <w:rFonts w:hint="default"/>
                <w:color w:val="auto"/>
              </w:rPr>
            </w:pPr>
            <w:r>
              <w:rPr>
                <w:color w:val="auto"/>
              </w:rPr>
              <w:t>安全管理</w:t>
            </w:r>
          </w:p>
        </w:tc>
        <w:tc>
          <w:tcPr>
            <w:tcW w:w="6059" w:type="dxa"/>
            <w:tcBorders>
              <w:tl2br w:val="nil"/>
              <w:tr2bl w:val="nil"/>
            </w:tcBorders>
            <w:vAlign w:val="center"/>
          </w:tcPr>
          <w:p w14:paraId="7CD64F14">
            <w:pPr>
              <w:pStyle w:val="43"/>
              <w:ind w:firstLine="420"/>
              <w:rPr>
                <w:color w:val="auto"/>
              </w:rPr>
            </w:pPr>
            <w:r>
              <w:rPr>
                <w:rFonts w:hint="eastAsia"/>
                <w:color w:val="auto"/>
              </w:rPr>
              <w:t>配合甲方完成上线前的漏洞扫描、渗透测试等安全评估工作，根据甲方要求完成发现漏洞的整改工作</w:t>
            </w:r>
          </w:p>
        </w:tc>
      </w:tr>
      <w:tr w14:paraId="54D57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exact"/>
        </w:trPr>
        <w:tc>
          <w:tcPr>
            <w:tcW w:w="8897" w:type="dxa"/>
            <w:gridSpan w:val="3"/>
            <w:tcBorders>
              <w:tl2br w:val="nil"/>
              <w:tr2bl w:val="nil"/>
            </w:tcBorders>
            <w:vAlign w:val="center"/>
          </w:tcPr>
          <w:p w14:paraId="7ADB944E">
            <w:pPr>
              <w:pStyle w:val="43"/>
              <w:ind w:firstLine="420"/>
              <w:rPr>
                <w:color w:val="auto"/>
              </w:rPr>
            </w:pPr>
            <w:r>
              <w:rPr>
                <w:rFonts w:hint="eastAsia"/>
                <w:color w:val="auto"/>
              </w:rPr>
              <w:t>4.5 后续支持</w:t>
            </w:r>
          </w:p>
        </w:tc>
      </w:tr>
      <w:tr w14:paraId="2618B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trPr>
        <w:tc>
          <w:tcPr>
            <w:tcW w:w="816" w:type="dxa"/>
            <w:tcBorders>
              <w:tl2br w:val="nil"/>
              <w:tr2bl w:val="nil"/>
            </w:tcBorders>
            <w:vAlign w:val="center"/>
          </w:tcPr>
          <w:p w14:paraId="1D3AB491">
            <w:pPr>
              <w:pStyle w:val="54"/>
              <w:rPr>
                <w:rFonts w:hint="default"/>
                <w:color w:val="auto"/>
              </w:rPr>
            </w:pPr>
            <w:r>
              <w:rPr>
                <w:color w:val="auto"/>
              </w:rPr>
              <w:t>4.5.1</w:t>
            </w:r>
          </w:p>
        </w:tc>
        <w:tc>
          <w:tcPr>
            <w:tcW w:w="2022" w:type="dxa"/>
            <w:tcBorders>
              <w:tl2br w:val="nil"/>
              <w:tr2bl w:val="nil"/>
            </w:tcBorders>
            <w:vAlign w:val="center"/>
          </w:tcPr>
          <w:p w14:paraId="702DE7F4">
            <w:pPr>
              <w:pStyle w:val="54"/>
              <w:rPr>
                <w:rFonts w:hint="default"/>
                <w:color w:val="auto"/>
              </w:rPr>
            </w:pPr>
            <w:r>
              <w:rPr>
                <w:color w:val="auto"/>
              </w:rPr>
              <w:t>版本安装、更新和升级</w:t>
            </w:r>
          </w:p>
        </w:tc>
        <w:tc>
          <w:tcPr>
            <w:tcW w:w="6059" w:type="dxa"/>
            <w:tcBorders>
              <w:tl2br w:val="nil"/>
              <w:tr2bl w:val="nil"/>
            </w:tcBorders>
            <w:vAlign w:val="center"/>
          </w:tcPr>
          <w:p w14:paraId="2C286E35">
            <w:pPr>
              <w:pStyle w:val="43"/>
              <w:ind w:firstLine="420"/>
              <w:rPr>
                <w:color w:val="auto"/>
              </w:rPr>
            </w:pPr>
            <w:r>
              <w:rPr>
                <w:rFonts w:hint="eastAsia"/>
                <w:color w:val="auto"/>
              </w:rPr>
              <w:t>提供系统版本安装和升级支持，包括响应甲方对生产、测试、开发、培训环境的安装和升级要求；提供硬件更换服务</w:t>
            </w:r>
          </w:p>
        </w:tc>
      </w:tr>
      <w:tr w14:paraId="0C868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trPr>
        <w:tc>
          <w:tcPr>
            <w:tcW w:w="816" w:type="dxa"/>
            <w:tcBorders>
              <w:tl2br w:val="nil"/>
              <w:tr2bl w:val="nil"/>
            </w:tcBorders>
            <w:vAlign w:val="center"/>
          </w:tcPr>
          <w:p w14:paraId="1D27D93D">
            <w:pPr>
              <w:pStyle w:val="54"/>
              <w:rPr>
                <w:rFonts w:hint="default"/>
                <w:color w:val="auto"/>
              </w:rPr>
            </w:pPr>
            <w:r>
              <w:rPr>
                <w:color w:val="auto"/>
              </w:rPr>
              <w:t>4.5.2</w:t>
            </w:r>
          </w:p>
        </w:tc>
        <w:tc>
          <w:tcPr>
            <w:tcW w:w="2022" w:type="dxa"/>
            <w:tcBorders>
              <w:tl2br w:val="nil"/>
              <w:tr2bl w:val="nil"/>
            </w:tcBorders>
            <w:vAlign w:val="center"/>
          </w:tcPr>
          <w:p w14:paraId="1CC5CBCF">
            <w:pPr>
              <w:pStyle w:val="54"/>
              <w:rPr>
                <w:rFonts w:hint="default"/>
                <w:color w:val="auto"/>
              </w:rPr>
            </w:pPr>
            <w:r>
              <w:rPr>
                <w:color w:val="auto"/>
              </w:rPr>
              <w:t>安全漏洞整改</w:t>
            </w:r>
          </w:p>
        </w:tc>
        <w:tc>
          <w:tcPr>
            <w:tcW w:w="6059" w:type="dxa"/>
            <w:tcBorders>
              <w:tl2br w:val="nil"/>
              <w:tr2bl w:val="nil"/>
            </w:tcBorders>
            <w:vAlign w:val="center"/>
          </w:tcPr>
          <w:p w14:paraId="6B288516">
            <w:pPr>
              <w:pStyle w:val="43"/>
              <w:ind w:firstLine="420"/>
              <w:rPr>
                <w:color w:val="auto"/>
              </w:rPr>
            </w:pPr>
            <w:r>
              <w:rPr>
                <w:rFonts w:hint="eastAsia"/>
                <w:color w:val="auto"/>
              </w:rPr>
              <w:t>针对系统运行过程中发现的安全漏洞，根据甲方要求完成整改工作</w:t>
            </w:r>
          </w:p>
        </w:tc>
      </w:tr>
      <w:tr w14:paraId="3118E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exact"/>
        </w:trPr>
        <w:tc>
          <w:tcPr>
            <w:tcW w:w="816" w:type="dxa"/>
            <w:tcBorders>
              <w:tl2br w:val="nil"/>
              <w:tr2bl w:val="nil"/>
            </w:tcBorders>
            <w:vAlign w:val="center"/>
          </w:tcPr>
          <w:p w14:paraId="1F444736">
            <w:pPr>
              <w:pStyle w:val="54"/>
              <w:rPr>
                <w:rFonts w:hint="default"/>
                <w:color w:val="auto"/>
              </w:rPr>
            </w:pPr>
            <w:r>
              <w:rPr>
                <w:color w:val="auto"/>
              </w:rPr>
              <w:t>4.5.3</w:t>
            </w:r>
          </w:p>
        </w:tc>
        <w:tc>
          <w:tcPr>
            <w:tcW w:w="2022" w:type="dxa"/>
            <w:tcBorders>
              <w:tl2br w:val="nil"/>
              <w:tr2bl w:val="nil"/>
            </w:tcBorders>
            <w:vAlign w:val="center"/>
          </w:tcPr>
          <w:p w14:paraId="196CAE26">
            <w:pPr>
              <w:pStyle w:val="54"/>
              <w:rPr>
                <w:rFonts w:hint="default"/>
                <w:color w:val="auto"/>
              </w:rPr>
            </w:pPr>
            <w:r>
              <w:rPr>
                <w:color w:val="auto"/>
              </w:rPr>
              <w:t>服务台支持</w:t>
            </w:r>
          </w:p>
        </w:tc>
        <w:tc>
          <w:tcPr>
            <w:tcW w:w="6059" w:type="dxa"/>
            <w:tcBorders>
              <w:tl2br w:val="nil"/>
              <w:tr2bl w:val="nil"/>
            </w:tcBorders>
            <w:vAlign w:val="center"/>
          </w:tcPr>
          <w:p w14:paraId="79619EE0">
            <w:pPr>
              <w:pStyle w:val="43"/>
              <w:ind w:firstLine="420"/>
              <w:rPr>
                <w:color w:val="auto"/>
              </w:rPr>
            </w:pPr>
            <w:r>
              <w:rPr>
                <w:rFonts w:hint="eastAsia"/>
                <w:color w:val="auto"/>
              </w:rPr>
              <w:t>提供7×24小时的技术支持服务</w:t>
            </w:r>
          </w:p>
        </w:tc>
      </w:tr>
      <w:tr w14:paraId="5776C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trPr>
        <w:tc>
          <w:tcPr>
            <w:tcW w:w="816" w:type="dxa"/>
            <w:tcBorders>
              <w:tl2br w:val="nil"/>
              <w:tr2bl w:val="nil"/>
            </w:tcBorders>
            <w:vAlign w:val="center"/>
          </w:tcPr>
          <w:p w14:paraId="23077B4F">
            <w:pPr>
              <w:pStyle w:val="54"/>
              <w:rPr>
                <w:rFonts w:hint="default"/>
                <w:color w:val="auto"/>
              </w:rPr>
            </w:pPr>
            <w:r>
              <w:rPr>
                <w:color w:val="auto"/>
              </w:rPr>
              <w:t>4.5.4</w:t>
            </w:r>
          </w:p>
        </w:tc>
        <w:tc>
          <w:tcPr>
            <w:tcW w:w="2022" w:type="dxa"/>
            <w:tcBorders>
              <w:tl2br w:val="nil"/>
              <w:tr2bl w:val="nil"/>
            </w:tcBorders>
            <w:vAlign w:val="center"/>
          </w:tcPr>
          <w:p w14:paraId="71124D7A">
            <w:pPr>
              <w:pStyle w:val="54"/>
              <w:rPr>
                <w:rFonts w:hint="default"/>
                <w:color w:val="auto"/>
              </w:rPr>
            </w:pPr>
            <w:r>
              <w:rPr>
                <w:color w:val="auto"/>
              </w:rPr>
              <w:t>巡检服务</w:t>
            </w:r>
          </w:p>
        </w:tc>
        <w:tc>
          <w:tcPr>
            <w:tcW w:w="6059" w:type="dxa"/>
            <w:tcBorders>
              <w:tl2br w:val="nil"/>
              <w:tr2bl w:val="nil"/>
            </w:tcBorders>
            <w:vAlign w:val="center"/>
          </w:tcPr>
          <w:p w14:paraId="663341F8">
            <w:pPr>
              <w:pStyle w:val="43"/>
              <w:ind w:firstLine="420"/>
              <w:rPr>
                <w:color w:val="auto"/>
              </w:rPr>
            </w:pPr>
            <w:r>
              <w:rPr>
                <w:rFonts w:hint="eastAsia"/>
                <w:color w:val="auto"/>
              </w:rPr>
              <w:t>提供系统运行状况报告</w:t>
            </w:r>
          </w:p>
        </w:tc>
      </w:tr>
      <w:tr w14:paraId="67088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816" w:type="dxa"/>
            <w:tcBorders>
              <w:tl2br w:val="nil"/>
              <w:tr2bl w:val="nil"/>
            </w:tcBorders>
            <w:vAlign w:val="center"/>
          </w:tcPr>
          <w:p w14:paraId="0216484E">
            <w:pPr>
              <w:pStyle w:val="54"/>
              <w:rPr>
                <w:rFonts w:hint="default"/>
                <w:color w:val="auto"/>
              </w:rPr>
            </w:pPr>
            <w:r>
              <w:rPr>
                <w:color w:val="auto"/>
              </w:rPr>
              <w:t>4.5.5</w:t>
            </w:r>
          </w:p>
        </w:tc>
        <w:tc>
          <w:tcPr>
            <w:tcW w:w="2022" w:type="dxa"/>
            <w:tcBorders>
              <w:tl2br w:val="nil"/>
              <w:tr2bl w:val="nil"/>
            </w:tcBorders>
            <w:vAlign w:val="center"/>
          </w:tcPr>
          <w:p w14:paraId="2BE07E53">
            <w:pPr>
              <w:pStyle w:val="54"/>
              <w:rPr>
                <w:rFonts w:hint="default"/>
                <w:color w:val="auto"/>
              </w:rPr>
            </w:pPr>
            <w:r>
              <w:rPr>
                <w:color w:val="auto"/>
              </w:rPr>
              <w:t>现场问题解决</w:t>
            </w:r>
          </w:p>
        </w:tc>
        <w:tc>
          <w:tcPr>
            <w:tcW w:w="6059" w:type="dxa"/>
            <w:tcBorders>
              <w:tl2br w:val="nil"/>
              <w:tr2bl w:val="nil"/>
            </w:tcBorders>
            <w:vAlign w:val="center"/>
          </w:tcPr>
          <w:p w14:paraId="5E5B1384">
            <w:pPr>
              <w:pStyle w:val="43"/>
              <w:ind w:firstLine="420"/>
              <w:rPr>
                <w:color w:val="auto"/>
              </w:rPr>
            </w:pPr>
            <w:r>
              <w:rPr>
                <w:rFonts w:hint="eastAsia"/>
                <w:color w:val="auto"/>
              </w:rPr>
              <w:t>提供重大问题现场解决，提供系统性能、容量、问题报告</w:t>
            </w:r>
          </w:p>
        </w:tc>
      </w:tr>
      <w:tr w14:paraId="5B402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0" w:hRule="exact"/>
        </w:trPr>
        <w:tc>
          <w:tcPr>
            <w:tcW w:w="816" w:type="dxa"/>
            <w:tcBorders>
              <w:tl2br w:val="nil"/>
              <w:tr2bl w:val="nil"/>
            </w:tcBorders>
            <w:vAlign w:val="center"/>
          </w:tcPr>
          <w:p w14:paraId="4D048A76">
            <w:pPr>
              <w:pStyle w:val="54"/>
              <w:rPr>
                <w:rFonts w:hint="default"/>
                <w:color w:val="auto"/>
              </w:rPr>
            </w:pPr>
            <w:r>
              <w:rPr>
                <w:color w:val="auto"/>
              </w:rPr>
              <w:t>4.5.6</w:t>
            </w:r>
          </w:p>
        </w:tc>
        <w:tc>
          <w:tcPr>
            <w:tcW w:w="2022" w:type="dxa"/>
            <w:tcBorders>
              <w:tl2br w:val="nil"/>
              <w:tr2bl w:val="nil"/>
            </w:tcBorders>
            <w:vAlign w:val="center"/>
          </w:tcPr>
          <w:p w14:paraId="4240B186">
            <w:pPr>
              <w:pStyle w:val="54"/>
              <w:rPr>
                <w:rFonts w:hint="default"/>
                <w:color w:val="auto"/>
              </w:rPr>
            </w:pPr>
            <w:r>
              <w:rPr>
                <w:color w:val="auto"/>
              </w:rPr>
              <w:t>响应要求</w:t>
            </w:r>
          </w:p>
        </w:tc>
        <w:tc>
          <w:tcPr>
            <w:tcW w:w="6059" w:type="dxa"/>
            <w:tcBorders>
              <w:tl2br w:val="nil"/>
              <w:tr2bl w:val="nil"/>
            </w:tcBorders>
            <w:vAlign w:val="center"/>
          </w:tcPr>
          <w:p w14:paraId="46E747A8">
            <w:pPr>
              <w:pStyle w:val="43"/>
              <w:ind w:firstLine="420"/>
              <w:rPr>
                <w:color w:val="auto"/>
              </w:rPr>
            </w:pPr>
            <w:r>
              <w:rPr>
                <w:rFonts w:hint="eastAsia"/>
                <w:color w:val="auto"/>
              </w:rPr>
              <w:t>要求按服务水平和指标及时响应：</w:t>
            </w:r>
          </w:p>
          <w:p w14:paraId="31B4DA0A">
            <w:pPr>
              <w:pStyle w:val="43"/>
              <w:ind w:firstLine="420"/>
              <w:rPr>
                <w:color w:val="auto"/>
              </w:rPr>
            </w:pPr>
            <w:r>
              <w:rPr>
                <w:rFonts w:hint="eastAsia"/>
                <w:color w:val="auto"/>
              </w:rPr>
              <w:t>一级响应：系统崩溃,不能使用或效能严重削弱, 系统的某个主要功能不能正常工作，对业务的正常运行造成重大影响。响应时间15分钟，</w:t>
            </w:r>
            <w:r>
              <w:rPr>
                <w:color w:val="auto"/>
              </w:rPr>
              <w:t>2</w:t>
            </w:r>
            <w:r>
              <w:rPr>
                <w:rFonts w:hint="eastAsia"/>
                <w:color w:val="auto"/>
              </w:rPr>
              <w:t>小时到达现场，4小时内排除问题或给出备份解决方案，故障排除后三天内提交分析报告；</w:t>
            </w:r>
          </w:p>
          <w:p w14:paraId="021D7B97">
            <w:pPr>
              <w:pStyle w:val="43"/>
              <w:ind w:firstLine="420"/>
              <w:rPr>
                <w:color w:val="auto"/>
              </w:rPr>
            </w:pPr>
            <w:r>
              <w:rPr>
                <w:rFonts w:hint="eastAsia"/>
                <w:color w:val="auto"/>
              </w:rPr>
              <w:t>二级响应：系统的运行性能严重下降，或性能明显下降，对业务运作产生明显影响。响应时间1小时内，必要时4小时到达，8小时内排除问题；</w:t>
            </w:r>
          </w:p>
          <w:p w14:paraId="401B0E0C">
            <w:pPr>
              <w:pStyle w:val="43"/>
              <w:ind w:firstLine="420"/>
              <w:rPr>
                <w:color w:val="auto"/>
              </w:rPr>
            </w:pPr>
            <w:r>
              <w:rPr>
                <w:rFonts w:hint="eastAsia"/>
                <w:color w:val="auto"/>
              </w:rPr>
              <w:t>三级响应：系统的运作性能受损，但业务仍可正常运行，响应时间12小时内，必要时24小时到达，1周内排除问题；</w:t>
            </w:r>
          </w:p>
          <w:p w14:paraId="68F6B30F">
            <w:pPr>
              <w:pStyle w:val="43"/>
              <w:ind w:firstLine="420"/>
              <w:rPr>
                <w:color w:val="auto"/>
              </w:rPr>
            </w:pPr>
            <w:r>
              <w:rPr>
                <w:rFonts w:hint="eastAsia"/>
                <w:color w:val="auto"/>
              </w:rPr>
              <w:t>四级响应：对系统安装或配置方面需要咨询或支援，很显然对业务运作几乎无影响，或根本没有影响。响应时间24小时内，必要时48小时到达，2周内排除问题。</w:t>
            </w:r>
          </w:p>
        </w:tc>
      </w:tr>
    </w:tbl>
    <w:p w14:paraId="4770F98D">
      <w:pPr>
        <w:ind w:firstLine="422"/>
        <w:rPr>
          <w:rFonts w:ascii="宋体"/>
          <w:b/>
          <w:bCs/>
          <w:color w:val="auto"/>
          <w:kern w:val="32"/>
          <w:szCs w:val="24"/>
        </w:rPr>
      </w:pPr>
      <w:bookmarkStart w:id="976" w:name="_Toc254884645"/>
      <w:r>
        <w:rPr>
          <w:rFonts w:hint="eastAsia" w:ascii="宋体"/>
          <w:b/>
          <w:bCs/>
          <w:color w:val="auto"/>
          <w:kern w:val="32"/>
          <w:szCs w:val="24"/>
        </w:rPr>
        <w:t>5. 问题管理流程</w:t>
      </w:r>
      <w:bookmarkEnd w:id="976"/>
    </w:p>
    <w:p w14:paraId="5422844B">
      <w:pPr>
        <w:ind w:firstLine="422"/>
        <w:rPr>
          <w:rFonts w:ascii="宋体"/>
          <w:b/>
          <w:bCs/>
          <w:color w:val="auto"/>
          <w:kern w:val="32"/>
          <w:szCs w:val="24"/>
        </w:rPr>
      </w:pPr>
      <w:bookmarkStart w:id="977" w:name="_Toc254884646"/>
      <w:r>
        <w:rPr>
          <w:rFonts w:hint="eastAsia" w:ascii="宋体"/>
          <w:b/>
          <w:bCs/>
          <w:color w:val="auto"/>
          <w:kern w:val="32"/>
          <w:szCs w:val="24"/>
        </w:rPr>
        <w:t>5.1问题处理流程</w:t>
      </w:r>
      <w:bookmarkEnd w:id="977"/>
    </w:p>
    <w:p w14:paraId="4B3A0491">
      <w:pPr>
        <w:widowControl/>
        <w:numPr>
          <w:ilvl w:val="0"/>
          <w:numId w:val="7"/>
        </w:numPr>
        <w:ind w:left="0" w:firstLine="567" w:firstLineChars="270"/>
        <w:rPr>
          <w:rFonts w:ascii="宋体"/>
          <w:color w:val="auto"/>
          <w:szCs w:val="24"/>
        </w:rPr>
      </w:pPr>
      <w:r>
        <w:rPr>
          <w:rFonts w:hint="eastAsia" w:ascii="宋体"/>
          <w:color w:val="auto"/>
          <w:szCs w:val="24"/>
        </w:rPr>
        <w:t>甲方或乙方均可以首先提出对问题解决方案有不同意见的看法；</w:t>
      </w:r>
    </w:p>
    <w:p w14:paraId="0BCE07EB">
      <w:pPr>
        <w:widowControl/>
        <w:numPr>
          <w:ilvl w:val="0"/>
          <w:numId w:val="7"/>
        </w:numPr>
        <w:ind w:left="0" w:firstLine="567" w:firstLineChars="270"/>
        <w:rPr>
          <w:rFonts w:ascii="宋体"/>
          <w:color w:val="auto"/>
          <w:szCs w:val="24"/>
        </w:rPr>
      </w:pPr>
      <w:r>
        <w:rPr>
          <w:rFonts w:hint="eastAsia" w:ascii="宋体"/>
          <w:color w:val="auto"/>
          <w:szCs w:val="24"/>
        </w:rPr>
        <w:t>甲方管理层和乙方管理层将决定问题是否需要提升到更高的管理层；</w:t>
      </w:r>
    </w:p>
    <w:p w14:paraId="7A1282A8">
      <w:pPr>
        <w:widowControl/>
        <w:numPr>
          <w:ilvl w:val="0"/>
          <w:numId w:val="7"/>
        </w:numPr>
        <w:ind w:left="0" w:firstLine="567" w:firstLineChars="270"/>
        <w:rPr>
          <w:rFonts w:ascii="宋体"/>
          <w:color w:val="auto"/>
          <w:szCs w:val="24"/>
        </w:rPr>
      </w:pPr>
      <w:r>
        <w:rPr>
          <w:rFonts w:hint="eastAsia" w:ascii="宋体"/>
          <w:color w:val="auto"/>
          <w:szCs w:val="24"/>
        </w:rPr>
        <w:t>及时召开相关的会议讨论和解决问题，问题的相关文档应提前一天发送到与会者；</w:t>
      </w:r>
    </w:p>
    <w:p w14:paraId="332B6164">
      <w:pPr>
        <w:widowControl/>
        <w:numPr>
          <w:ilvl w:val="0"/>
          <w:numId w:val="7"/>
        </w:numPr>
        <w:ind w:left="0" w:firstLine="567" w:firstLineChars="270"/>
        <w:rPr>
          <w:rFonts w:ascii="宋体"/>
          <w:color w:val="auto"/>
          <w:szCs w:val="24"/>
        </w:rPr>
      </w:pPr>
      <w:r>
        <w:rPr>
          <w:rFonts w:hint="eastAsia" w:ascii="宋体"/>
          <w:color w:val="auto"/>
          <w:szCs w:val="24"/>
        </w:rPr>
        <w:t>如有必要，甲方和乙方管理层在永久性解决方案出台之前可以先共同达成一套临时性的解决方案。乙方可以在会后与各利益相关方沟通并达成永久性的解决方案；</w:t>
      </w:r>
    </w:p>
    <w:p w14:paraId="224404A2">
      <w:pPr>
        <w:widowControl/>
        <w:numPr>
          <w:ilvl w:val="0"/>
          <w:numId w:val="7"/>
        </w:numPr>
        <w:ind w:left="0" w:firstLine="567" w:firstLineChars="270"/>
        <w:rPr>
          <w:rFonts w:ascii="宋体"/>
          <w:color w:val="auto"/>
          <w:szCs w:val="24"/>
        </w:rPr>
      </w:pPr>
      <w:r>
        <w:rPr>
          <w:rFonts w:hint="eastAsia" w:ascii="宋体"/>
          <w:color w:val="auto"/>
          <w:szCs w:val="24"/>
        </w:rPr>
        <w:t>如果问题最终仍没解决，甲方和乙方双方可以申请仲裁来达成最终的一致方案。</w:t>
      </w:r>
    </w:p>
    <w:p w14:paraId="26728362">
      <w:pPr>
        <w:ind w:firstLine="422"/>
        <w:rPr>
          <w:rFonts w:ascii="宋体"/>
          <w:b/>
          <w:bCs/>
          <w:color w:val="auto"/>
          <w:kern w:val="32"/>
          <w:szCs w:val="24"/>
        </w:rPr>
      </w:pPr>
      <w:bookmarkStart w:id="978" w:name="_Toc254884647"/>
      <w:r>
        <w:rPr>
          <w:rFonts w:hint="eastAsia" w:ascii="宋体"/>
          <w:b/>
          <w:bCs/>
          <w:color w:val="auto"/>
          <w:kern w:val="32"/>
          <w:szCs w:val="24"/>
        </w:rPr>
        <w:t>5.2问题升级流程</w:t>
      </w:r>
      <w:bookmarkEnd w:id="978"/>
    </w:p>
    <w:p w14:paraId="122719DA">
      <w:pPr>
        <w:widowControl/>
        <w:numPr>
          <w:ilvl w:val="0"/>
          <w:numId w:val="8"/>
        </w:numPr>
        <w:ind w:firstLineChars="0"/>
        <w:rPr>
          <w:rFonts w:ascii="宋体"/>
          <w:color w:val="auto"/>
          <w:szCs w:val="24"/>
        </w:rPr>
      </w:pPr>
      <w:r>
        <w:rPr>
          <w:rFonts w:hint="eastAsia" w:ascii="宋体"/>
          <w:color w:val="auto"/>
          <w:szCs w:val="24"/>
        </w:rPr>
        <w:t>甲方或者乙方都有可能首先提出该流程；</w:t>
      </w:r>
    </w:p>
    <w:p w14:paraId="01176C1C">
      <w:pPr>
        <w:widowControl/>
        <w:numPr>
          <w:ilvl w:val="0"/>
          <w:numId w:val="8"/>
        </w:numPr>
        <w:ind w:firstLineChars="0"/>
        <w:rPr>
          <w:rFonts w:ascii="宋体"/>
          <w:color w:val="auto"/>
          <w:szCs w:val="24"/>
        </w:rPr>
      </w:pPr>
      <w:r>
        <w:rPr>
          <w:rFonts w:hint="eastAsia" w:ascii="宋体"/>
          <w:color w:val="auto"/>
          <w:szCs w:val="24"/>
        </w:rPr>
        <w:t>首先提出的一方应及时通知对方问题升级流程已经启动；</w:t>
      </w:r>
    </w:p>
    <w:p w14:paraId="7A9B0C37">
      <w:pPr>
        <w:widowControl/>
        <w:numPr>
          <w:ilvl w:val="0"/>
          <w:numId w:val="8"/>
        </w:numPr>
        <w:ind w:firstLineChars="0"/>
        <w:rPr>
          <w:rFonts w:ascii="宋体"/>
          <w:color w:val="auto"/>
          <w:szCs w:val="24"/>
        </w:rPr>
      </w:pPr>
      <w:r>
        <w:rPr>
          <w:rFonts w:hint="eastAsia" w:ascii="宋体"/>
          <w:color w:val="auto"/>
          <w:szCs w:val="24"/>
        </w:rPr>
        <w:t>问题升级到的管理层应当事先定义在联络人表中；</w:t>
      </w:r>
    </w:p>
    <w:p w14:paraId="293093F7">
      <w:pPr>
        <w:widowControl/>
        <w:numPr>
          <w:ilvl w:val="0"/>
          <w:numId w:val="8"/>
        </w:numPr>
        <w:ind w:firstLineChars="0"/>
        <w:rPr>
          <w:rFonts w:ascii="宋体"/>
          <w:color w:val="auto"/>
          <w:szCs w:val="24"/>
        </w:rPr>
      </w:pPr>
      <w:r>
        <w:rPr>
          <w:rFonts w:hint="eastAsia" w:ascii="宋体"/>
          <w:color w:val="auto"/>
          <w:szCs w:val="24"/>
        </w:rPr>
        <w:t>问题升级的层次在甲方和乙方之间应当保持一致，直至解决该问题。</w:t>
      </w:r>
    </w:p>
    <w:p w14:paraId="47A94505">
      <w:pPr>
        <w:ind w:firstLine="422"/>
        <w:rPr>
          <w:rFonts w:ascii="宋体"/>
          <w:b/>
          <w:bCs/>
          <w:color w:val="auto"/>
          <w:kern w:val="32"/>
          <w:szCs w:val="24"/>
        </w:rPr>
      </w:pPr>
      <w:bookmarkStart w:id="979" w:name="_Toc254884648"/>
      <w:r>
        <w:rPr>
          <w:rFonts w:hint="eastAsia" w:ascii="宋体"/>
          <w:b/>
          <w:bCs/>
          <w:color w:val="auto"/>
          <w:kern w:val="32"/>
          <w:szCs w:val="24"/>
        </w:rPr>
        <w:t>5.3联络表</w:t>
      </w:r>
      <w:bookmarkEnd w:id="979"/>
    </w:p>
    <w:tbl>
      <w:tblPr>
        <w:tblStyle w:val="19"/>
        <w:tblW w:w="8028" w:type="dxa"/>
        <w:tblInd w:w="675" w:type="dxa"/>
        <w:tblLayout w:type="fixed"/>
        <w:tblCellMar>
          <w:top w:w="0" w:type="dxa"/>
          <w:left w:w="108" w:type="dxa"/>
          <w:bottom w:w="0" w:type="dxa"/>
          <w:right w:w="108" w:type="dxa"/>
        </w:tblCellMar>
      </w:tblPr>
      <w:tblGrid>
        <w:gridCol w:w="2382"/>
        <w:gridCol w:w="2451"/>
        <w:gridCol w:w="3195"/>
      </w:tblGrid>
      <w:tr w14:paraId="6F21141B">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43C9A5EF">
            <w:pPr>
              <w:pStyle w:val="44"/>
              <w:rPr>
                <w:color w:val="auto"/>
              </w:rPr>
            </w:pPr>
            <w:r>
              <w:rPr>
                <w:rFonts w:hint="eastAsia"/>
                <w:color w:val="auto"/>
              </w:rPr>
              <w:t>乙方</w:t>
            </w:r>
          </w:p>
        </w:tc>
        <w:tc>
          <w:tcPr>
            <w:tcW w:w="2451" w:type="dxa"/>
            <w:tcBorders>
              <w:top w:val="single" w:color="auto" w:sz="4" w:space="0"/>
              <w:left w:val="single" w:color="auto" w:sz="4" w:space="0"/>
              <w:bottom w:val="single" w:color="auto" w:sz="4" w:space="0"/>
              <w:right w:val="single" w:color="auto" w:sz="4" w:space="0"/>
              <w:tl2br w:val="nil"/>
              <w:tr2bl w:val="nil"/>
            </w:tcBorders>
          </w:tcPr>
          <w:p w14:paraId="29EFA8DA">
            <w:pPr>
              <w:pStyle w:val="44"/>
              <w:rPr>
                <w:color w:val="auto"/>
              </w:rPr>
            </w:pPr>
            <w:r>
              <w:rPr>
                <w:rFonts w:hint="eastAsia"/>
                <w:color w:val="auto"/>
              </w:rPr>
              <w:t>职务</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6A2D83AB">
            <w:pPr>
              <w:pStyle w:val="44"/>
              <w:rPr>
                <w:color w:val="auto"/>
              </w:rPr>
            </w:pPr>
            <w:r>
              <w:rPr>
                <w:rFonts w:hint="eastAsia"/>
                <w:color w:val="auto"/>
              </w:rPr>
              <w:t>电话</w:t>
            </w:r>
          </w:p>
        </w:tc>
      </w:tr>
      <w:tr w14:paraId="68497708">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630D399B">
            <w:pPr>
              <w:pStyle w:val="54"/>
              <w:rPr>
                <w:rFonts w:hint="default"/>
                <w:color w:val="auto"/>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0D67DB6F">
            <w:pPr>
              <w:pStyle w:val="54"/>
              <w:rPr>
                <w:rFonts w:hint="default"/>
                <w:color w:val="auto"/>
              </w:rPr>
            </w:pPr>
            <w:r>
              <w:rPr>
                <w:color w:val="auto"/>
              </w:rPr>
              <w:t>商务代表</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6459E8EB">
            <w:pPr>
              <w:pStyle w:val="54"/>
              <w:rPr>
                <w:rFonts w:hint="default"/>
                <w:color w:val="auto"/>
              </w:rPr>
            </w:pPr>
          </w:p>
        </w:tc>
      </w:tr>
      <w:tr w14:paraId="66E9B2CB">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65684AD1">
            <w:pPr>
              <w:pStyle w:val="54"/>
              <w:rPr>
                <w:rFonts w:hint="default"/>
                <w:color w:val="auto"/>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6D0B16C1">
            <w:pPr>
              <w:pStyle w:val="54"/>
              <w:rPr>
                <w:rFonts w:hint="default"/>
                <w:color w:val="auto"/>
              </w:rPr>
            </w:pPr>
            <w:r>
              <w:rPr>
                <w:color w:val="auto"/>
              </w:rPr>
              <w:t>项目经理</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5D74DA5B">
            <w:pPr>
              <w:pStyle w:val="54"/>
              <w:rPr>
                <w:rFonts w:hint="default"/>
                <w:color w:val="auto"/>
              </w:rPr>
            </w:pPr>
          </w:p>
        </w:tc>
      </w:tr>
      <w:tr w14:paraId="62E661A8">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2E7CF881">
            <w:pPr>
              <w:pStyle w:val="54"/>
              <w:rPr>
                <w:rFonts w:hint="default"/>
                <w:color w:val="auto"/>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0B562FC7">
            <w:pPr>
              <w:pStyle w:val="54"/>
              <w:rPr>
                <w:rFonts w:hint="default"/>
                <w:color w:val="auto"/>
              </w:rPr>
            </w:pPr>
            <w:r>
              <w:rPr>
                <w:color w:val="auto"/>
              </w:rPr>
              <w:t>项目总监</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0473A0A4">
            <w:pPr>
              <w:pStyle w:val="54"/>
              <w:rPr>
                <w:rFonts w:hint="default"/>
                <w:color w:val="auto"/>
              </w:rPr>
            </w:pPr>
          </w:p>
        </w:tc>
      </w:tr>
      <w:tr w14:paraId="6D68808F">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l2br w:val="nil"/>
              <w:tr2bl w:val="nil"/>
            </w:tcBorders>
          </w:tcPr>
          <w:p w14:paraId="3B3D5F12">
            <w:pPr>
              <w:pStyle w:val="54"/>
              <w:rPr>
                <w:rFonts w:hint="default"/>
                <w:color w:val="auto"/>
              </w:rPr>
            </w:pPr>
          </w:p>
        </w:tc>
        <w:tc>
          <w:tcPr>
            <w:tcW w:w="2451" w:type="dxa"/>
            <w:tcBorders>
              <w:top w:val="single" w:color="auto" w:sz="4" w:space="0"/>
              <w:left w:val="single" w:color="auto" w:sz="4" w:space="0"/>
              <w:bottom w:val="single" w:color="auto" w:sz="4" w:space="0"/>
              <w:right w:val="single" w:color="auto" w:sz="4" w:space="0"/>
              <w:tl2br w:val="nil"/>
              <w:tr2bl w:val="nil"/>
            </w:tcBorders>
          </w:tcPr>
          <w:p w14:paraId="3C7504BD">
            <w:pPr>
              <w:pStyle w:val="54"/>
              <w:rPr>
                <w:rFonts w:hint="default"/>
                <w:color w:val="auto"/>
              </w:rPr>
            </w:pPr>
            <w:r>
              <w:rPr>
                <w:color w:val="auto"/>
              </w:rPr>
              <w:t>总经理</w:t>
            </w:r>
          </w:p>
        </w:tc>
        <w:tc>
          <w:tcPr>
            <w:tcW w:w="3195" w:type="dxa"/>
            <w:tcBorders>
              <w:top w:val="single" w:color="auto" w:sz="4" w:space="0"/>
              <w:left w:val="single" w:color="auto" w:sz="4" w:space="0"/>
              <w:bottom w:val="single" w:color="auto" w:sz="4" w:space="0"/>
              <w:right w:val="single" w:color="auto" w:sz="4" w:space="0"/>
              <w:tl2br w:val="nil"/>
              <w:tr2bl w:val="nil"/>
            </w:tcBorders>
          </w:tcPr>
          <w:p w14:paraId="7043A046">
            <w:pPr>
              <w:pStyle w:val="54"/>
              <w:rPr>
                <w:rFonts w:hint="default"/>
                <w:color w:val="auto"/>
              </w:rPr>
            </w:pPr>
          </w:p>
        </w:tc>
      </w:tr>
    </w:tbl>
    <w:p w14:paraId="5D18D3C6">
      <w:pPr>
        <w:ind w:firstLine="422"/>
        <w:rPr>
          <w:rFonts w:ascii="宋体"/>
          <w:b/>
          <w:bCs/>
          <w:color w:val="auto"/>
          <w:kern w:val="32"/>
          <w:szCs w:val="24"/>
        </w:rPr>
      </w:pPr>
      <w:bookmarkStart w:id="980" w:name="_Toc254884649"/>
      <w:r>
        <w:rPr>
          <w:rFonts w:hint="eastAsia" w:ascii="宋体"/>
          <w:b/>
          <w:bCs/>
          <w:color w:val="auto"/>
          <w:kern w:val="32"/>
          <w:szCs w:val="24"/>
        </w:rPr>
        <w:t>6. 汇报</w:t>
      </w:r>
      <w:r>
        <w:rPr>
          <w:rFonts w:ascii="宋体"/>
          <w:b/>
          <w:bCs/>
          <w:color w:val="auto"/>
          <w:kern w:val="32"/>
          <w:szCs w:val="24"/>
        </w:rPr>
        <w:t>内容及</w:t>
      </w:r>
      <w:r>
        <w:rPr>
          <w:rFonts w:hint="eastAsia" w:ascii="宋体"/>
          <w:b/>
          <w:bCs/>
          <w:color w:val="auto"/>
          <w:kern w:val="32"/>
          <w:szCs w:val="24"/>
        </w:rPr>
        <w:t>流程</w:t>
      </w:r>
      <w:bookmarkEnd w:id="980"/>
    </w:p>
    <w:p w14:paraId="1C814D71">
      <w:pPr>
        <w:ind w:firstLine="420"/>
        <w:rPr>
          <w:rFonts w:ascii="宋体"/>
          <w:color w:val="auto"/>
          <w:szCs w:val="24"/>
        </w:rPr>
      </w:pPr>
      <w:r>
        <w:rPr>
          <w:rFonts w:hint="eastAsia" w:ascii="宋体"/>
          <w:color w:val="auto"/>
          <w:szCs w:val="24"/>
        </w:rPr>
        <w:t>乙方应当在每星期五向甲方提交工作周报，包括项目情况跟踪及问题报告等，附带的性能报告（如有）也将递交给甲方项目经理。如发生突发事件，乙方也应第一时间向甲方项目经理报告。</w:t>
      </w:r>
    </w:p>
    <w:p w14:paraId="27849ADB">
      <w:pPr>
        <w:ind w:firstLine="422"/>
        <w:rPr>
          <w:rFonts w:ascii="宋体"/>
          <w:b/>
          <w:bCs/>
          <w:color w:val="auto"/>
          <w:kern w:val="32"/>
          <w:szCs w:val="24"/>
        </w:rPr>
      </w:pPr>
      <w:bookmarkStart w:id="981" w:name="_Toc254884650"/>
      <w:r>
        <w:rPr>
          <w:rFonts w:hint="eastAsia" w:ascii="宋体"/>
          <w:b/>
          <w:bCs/>
          <w:color w:val="auto"/>
          <w:kern w:val="32"/>
          <w:szCs w:val="24"/>
        </w:rPr>
        <w:t>7. 服务水平和指标</w:t>
      </w:r>
      <w:bookmarkEnd w:id="981"/>
    </w:p>
    <w:p w14:paraId="25357CE1">
      <w:pPr>
        <w:ind w:firstLine="420"/>
        <w:rPr>
          <w:rFonts w:ascii="宋体"/>
          <w:color w:val="auto"/>
          <w:szCs w:val="24"/>
        </w:rPr>
      </w:pPr>
      <w:r>
        <w:rPr>
          <w:rFonts w:hint="eastAsia" w:ascii="宋体"/>
          <w:color w:val="auto"/>
          <w:szCs w:val="24"/>
        </w:rPr>
        <w:t>【开发</w:t>
      </w:r>
      <w:r>
        <w:rPr>
          <w:rFonts w:ascii="宋体"/>
          <w:color w:val="auto"/>
          <w:szCs w:val="24"/>
        </w:rPr>
        <w:t>】</w:t>
      </w:r>
      <w:r>
        <w:rPr>
          <w:rFonts w:hint="eastAsia" w:ascii="宋体"/>
          <w:color w:val="auto"/>
          <w:szCs w:val="24"/>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42C2842C">
      <w:pPr>
        <w:ind w:firstLine="420"/>
        <w:rPr>
          <w:rFonts w:ascii="宋体"/>
          <w:color w:val="auto"/>
          <w:szCs w:val="24"/>
        </w:rPr>
        <w:sectPr>
          <w:footerReference r:id="rId12" w:type="default"/>
          <w:pgSz w:w="11906" w:h="16838"/>
          <w:pgMar w:top="1384" w:right="1800" w:bottom="1440" w:left="1800" w:header="851" w:footer="992" w:gutter="0"/>
          <w:pgNumType w:fmt="decimal"/>
          <w:cols w:space="720" w:num="1"/>
          <w:docGrid w:type="lines" w:linePitch="326" w:charSpace="14336"/>
        </w:sectPr>
      </w:pPr>
    </w:p>
    <w:tbl>
      <w:tblPr>
        <w:tblStyle w:val="19"/>
        <w:tblW w:w="13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82"/>
        <w:gridCol w:w="725"/>
        <w:gridCol w:w="3412"/>
        <w:gridCol w:w="4463"/>
        <w:gridCol w:w="2375"/>
        <w:gridCol w:w="775"/>
        <w:gridCol w:w="745"/>
      </w:tblGrid>
      <w:tr w14:paraId="39DD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3B556826">
            <w:pPr>
              <w:pStyle w:val="44"/>
              <w:rPr>
                <w:color w:val="auto"/>
              </w:rPr>
            </w:pPr>
            <w:bookmarkStart w:id="982" w:name="OLE_LINK3"/>
            <w:r>
              <w:rPr>
                <w:color w:val="auto"/>
              </w:rPr>
              <w:t>序号</w:t>
            </w:r>
          </w:p>
        </w:tc>
        <w:tc>
          <w:tcPr>
            <w:tcW w:w="782" w:type="dxa"/>
            <w:vAlign w:val="center"/>
          </w:tcPr>
          <w:p w14:paraId="56893D50">
            <w:pPr>
              <w:pStyle w:val="44"/>
              <w:rPr>
                <w:color w:val="auto"/>
              </w:rPr>
            </w:pPr>
            <w:r>
              <w:rPr>
                <w:color w:val="auto"/>
              </w:rPr>
              <w:t>评价维度</w:t>
            </w:r>
          </w:p>
        </w:tc>
        <w:tc>
          <w:tcPr>
            <w:tcW w:w="725" w:type="dxa"/>
            <w:vAlign w:val="center"/>
          </w:tcPr>
          <w:p w14:paraId="6A021926">
            <w:pPr>
              <w:pStyle w:val="44"/>
              <w:rPr>
                <w:color w:val="auto"/>
              </w:rPr>
            </w:pPr>
            <w:r>
              <w:rPr>
                <w:color w:val="auto"/>
              </w:rPr>
              <w:t>评价指标</w:t>
            </w:r>
          </w:p>
        </w:tc>
        <w:tc>
          <w:tcPr>
            <w:tcW w:w="3412" w:type="dxa"/>
            <w:vAlign w:val="center"/>
          </w:tcPr>
          <w:p w14:paraId="6D8BC701">
            <w:pPr>
              <w:pStyle w:val="44"/>
              <w:rPr>
                <w:color w:val="auto"/>
              </w:rPr>
            </w:pPr>
            <w:r>
              <w:rPr>
                <w:color w:val="auto"/>
              </w:rPr>
              <w:t>指标定义</w:t>
            </w:r>
          </w:p>
        </w:tc>
        <w:tc>
          <w:tcPr>
            <w:tcW w:w="4463" w:type="dxa"/>
            <w:vAlign w:val="center"/>
          </w:tcPr>
          <w:p w14:paraId="265E6966">
            <w:pPr>
              <w:pStyle w:val="44"/>
              <w:rPr>
                <w:color w:val="auto"/>
              </w:rPr>
            </w:pPr>
            <w:r>
              <w:rPr>
                <w:color w:val="auto"/>
              </w:rPr>
              <w:t>评分</w:t>
            </w:r>
            <w:r>
              <w:rPr>
                <w:rFonts w:hint="eastAsia"/>
                <w:color w:val="auto"/>
              </w:rPr>
              <w:t>/价</w:t>
            </w:r>
            <w:r>
              <w:rPr>
                <w:color w:val="auto"/>
              </w:rPr>
              <w:t>标准</w:t>
            </w:r>
          </w:p>
        </w:tc>
        <w:tc>
          <w:tcPr>
            <w:tcW w:w="2375" w:type="dxa"/>
            <w:vAlign w:val="center"/>
          </w:tcPr>
          <w:p w14:paraId="0EFE4799">
            <w:pPr>
              <w:pStyle w:val="44"/>
              <w:rPr>
                <w:color w:val="auto"/>
              </w:rPr>
            </w:pPr>
            <w:r>
              <w:rPr>
                <w:rFonts w:hint="eastAsia"/>
                <w:color w:val="auto"/>
              </w:rPr>
              <w:t>违约金标准</w:t>
            </w:r>
          </w:p>
        </w:tc>
        <w:tc>
          <w:tcPr>
            <w:tcW w:w="775" w:type="dxa"/>
            <w:vAlign w:val="center"/>
          </w:tcPr>
          <w:p w14:paraId="4C0D6E61">
            <w:pPr>
              <w:pStyle w:val="44"/>
              <w:rPr>
                <w:color w:val="auto"/>
              </w:rPr>
            </w:pPr>
            <w:r>
              <w:rPr>
                <w:color w:val="auto"/>
              </w:rPr>
              <w:t>评价结果</w:t>
            </w:r>
          </w:p>
        </w:tc>
        <w:tc>
          <w:tcPr>
            <w:tcW w:w="745" w:type="dxa"/>
            <w:vAlign w:val="center"/>
          </w:tcPr>
          <w:p w14:paraId="3A50691D">
            <w:pPr>
              <w:pStyle w:val="44"/>
              <w:rPr>
                <w:color w:val="auto"/>
              </w:rPr>
            </w:pPr>
            <w:r>
              <w:rPr>
                <w:color w:val="auto"/>
              </w:rPr>
              <w:t>评价得分</w:t>
            </w:r>
          </w:p>
        </w:tc>
      </w:tr>
      <w:tr w14:paraId="45F3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976C62D">
            <w:pPr>
              <w:pStyle w:val="54"/>
              <w:rPr>
                <w:rFonts w:hint="default"/>
                <w:color w:val="auto"/>
              </w:rPr>
            </w:pPr>
            <w:r>
              <w:rPr>
                <w:color w:val="auto"/>
              </w:rPr>
              <w:t>1</w:t>
            </w:r>
          </w:p>
        </w:tc>
        <w:tc>
          <w:tcPr>
            <w:tcW w:w="782" w:type="dxa"/>
            <w:vMerge w:val="restart"/>
            <w:tcBorders>
              <w:left w:val="single" w:color="auto" w:sz="4" w:space="0"/>
            </w:tcBorders>
            <w:vAlign w:val="center"/>
          </w:tcPr>
          <w:p w14:paraId="5C9DA462">
            <w:pPr>
              <w:pStyle w:val="54"/>
              <w:rPr>
                <w:rFonts w:hint="default"/>
                <w:color w:val="auto"/>
              </w:rPr>
            </w:pPr>
            <w:r>
              <w:rPr>
                <w:color w:val="auto"/>
              </w:rPr>
              <w:t>服务质量</w:t>
            </w:r>
          </w:p>
        </w:tc>
        <w:tc>
          <w:tcPr>
            <w:tcW w:w="725" w:type="dxa"/>
            <w:tcBorders>
              <w:left w:val="single" w:color="auto" w:sz="4" w:space="0"/>
            </w:tcBorders>
            <w:vAlign w:val="center"/>
          </w:tcPr>
          <w:p w14:paraId="26B81D25">
            <w:pPr>
              <w:pStyle w:val="54"/>
              <w:rPr>
                <w:rFonts w:hint="default"/>
                <w:color w:val="auto"/>
              </w:rPr>
            </w:pPr>
            <w:r>
              <w:rPr>
                <w:color w:val="auto"/>
              </w:rPr>
              <w:t>交付成果质量</w:t>
            </w:r>
          </w:p>
        </w:tc>
        <w:tc>
          <w:tcPr>
            <w:tcW w:w="3412" w:type="dxa"/>
            <w:tcBorders>
              <w:left w:val="single" w:color="auto" w:sz="4" w:space="0"/>
            </w:tcBorders>
            <w:vAlign w:val="center"/>
          </w:tcPr>
          <w:p w14:paraId="0042CA3E">
            <w:pPr>
              <w:ind w:firstLine="420"/>
              <w:rPr>
                <w:rFonts w:ascii="宋体"/>
                <w:color w:val="auto"/>
                <w:szCs w:val="21"/>
              </w:rPr>
            </w:pPr>
            <w:r>
              <w:rPr>
                <w:rFonts w:ascii="宋体"/>
                <w:color w:val="auto"/>
                <w:szCs w:val="21"/>
              </w:rPr>
              <w:t>用于记录</w:t>
            </w:r>
            <w:r>
              <w:rPr>
                <w:rFonts w:hint="eastAsia" w:ascii="宋体"/>
                <w:color w:val="auto"/>
                <w:szCs w:val="21"/>
              </w:rPr>
              <w:t>乙方</w:t>
            </w:r>
            <w:r>
              <w:rPr>
                <w:rFonts w:ascii="宋体"/>
                <w:color w:val="auto"/>
                <w:szCs w:val="21"/>
              </w:rPr>
              <w:t>所提交的项目交付成果（含数据标准执行、数据质量管控）与</w:t>
            </w:r>
            <w:r>
              <w:rPr>
                <w:rFonts w:hint="eastAsia" w:ascii="宋体"/>
                <w:color w:val="auto"/>
                <w:szCs w:val="21"/>
              </w:rPr>
              <w:t>甲方</w:t>
            </w:r>
            <w:r>
              <w:rPr>
                <w:rFonts w:ascii="宋体"/>
                <w:color w:val="auto"/>
                <w:szCs w:val="21"/>
              </w:rPr>
              <w:t>要求的项目交付成果的契合度或交付成果质量与合同所约定要求的项目交付成果质量的满足程度</w:t>
            </w:r>
          </w:p>
        </w:tc>
        <w:tc>
          <w:tcPr>
            <w:tcW w:w="4463" w:type="dxa"/>
            <w:tcBorders>
              <w:left w:val="single" w:color="auto" w:sz="4" w:space="0"/>
            </w:tcBorders>
            <w:vAlign w:val="center"/>
          </w:tcPr>
          <w:p w14:paraId="1D557009">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乙方</w:t>
            </w:r>
            <w:r>
              <w:rPr>
                <w:rFonts w:ascii="宋体"/>
                <w:color w:val="auto"/>
                <w:szCs w:val="21"/>
              </w:rPr>
              <w:t>能够主动快速与</w:t>
            </w:r>
            <w:r>
              <w:rPr>
                <w:rFonts w:hint="eastAsia" w:ascii="宋体"/>
                <w:color w:val="auto"/>
                <w:szCs w:val="21"/>
              </w:rPr>
              <w:t>甲方</w:t>
            </w:r>
            <w:r>
              <w:rPr>
                <w:rFonts w:ascii="宋体"/>
                <w:color w:val="auto"/>
                <w:szCs w:val="21"/>
              </w:rPr>
              <w:t>进行有效的沟通，交付成果高度契合需求，完全满足并超出合同约定的预期目标，给</w:t>
            </w:r>
            <w:r>
              <w:rPr>
                <w:rFonts w:hint="eastAsia" w:ascii="宋体"/>
                <w:color w:val="auto"/>
                <w:szCs w:val="21"/>
              </w:rPr>
              <w:t>甲方</w:t>
            </w:r>
            <w:r>
              <w:rPr>
                <w:rFonts w:ascii="宋体"/>
                <w:color w:val="auto"/>
                <w:szCs w:val="21"/>
              </w:rPr>
              <w:t>带来显著的附加价值</w:t>
            </w:r>
            <w:r>
              <w:rPr>
                <w:rFonts w:hint="eastAsia" w:ascii="宋体"/>
                <w:color w:val="auto"/>
                <w:szCs w:val="21"/>
              </w:rPr>
              <w:t>；</w:t>
            </w:r>
          </w:p>
          <w:p w14:paraId="71B7D5FF">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乙方</w:t>
            </w:r>
            <w:r>
              <w:rPr>
                <w:rFonts w:ascii="宋体"/>
                <w:color w:val="auto"/>
                <w:szCs w:val="21"/>
              </w:rPr>
              <w:t>能够快速响应需求，交付成果达到合同约定的预期目标，基本契合需求，满足合同约定的预期目标</w:t>
            </w:r>
            <w:r>
              <w:rPr>
                <w:rFonts w:hint="eastAsia" w:ascii="宋体"/>
                <w:color w:val="auto"/>
                <w:szCs w:val="21"/>
              </w:rPr>
              <w:t>；</w:t>
            </w:r>
          </w:p>
          <w:p w14:paraId="34997FDD">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乙方</w:t>
            </w:r>
            <w:r>
              <w:rPr>
                <w:rFonts w:ascii="宋体"/>
                <w:color w:val="auto"/>
                <w:szCs w:val="21"/>
              </w:rPr>
              <w:t>能够按要求响应需求，交付成果</w:t>
            </w:r>
            <w:r>
              <w:rPr>
                <w:rFonts w:hint="eastAsia" w:ascii="宋体"/>
                <w:color w:val="auto"/>
                <w:szCs w:val="21"/>
              </w:rPr>
              <w:t>基本满足</w:t>
            </w:r>
            <w:r>
              <w:rPr>
                <w:rFonts w:ascii="宋体"/>
                <w:color w:val="auto"/>
                <w:szCs w:val="21"/>
              </w:rPr>
              <w:t>需求，但是总体可满足合同约定的预期目标</w:t>
            </w:r>
            <w:r>
              <w:rPr>
                <w:rFonts w:hint="eastAsia" w:ascii="宋体"/>
                <w:color w:val="auto"/>
                <w:szCs w:val="21"/>
              </w:rPr>
              <w:t>；</w:t>
            </w:r>
          </w:p>
          <w:p w14:paraId="7FCB0E3C">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乙方未</w:t>
            </w:r>
            <w:r>
              <w:rPr>
                <w:rFonts w:ascii="宋体"/>
                <w:color w:val="auto"/>
                <w:szCs w:val="21"/>
              </w:rPr>
              <w:t>能够按要求响应需求，</w:t>
            </w:r>
            <w:r>
              <w:rPr>
                <w:rFonts w:hint="eastAsia" w:ascii="宋体"/>
                <w:color w:val="auto"/>
                <w:szCs w:val="21"/>
              </w:rPr>
              <w:t>或</w:t>
            </w:r>
            <w:r>
              <w:rPr>
                <w:rFonts w:ascii="宋体"/>
                <w:color w:val="auto"/>
                <w:szCs w:val="21"/>
              </w:rPr>
              <w:t>交付成果与需求</w:t>
            </w:r>
            <w:r>
              <w:rPr>
                <w:rFonts w:hint="eastAsia" w:ascii="宋体"/>
                <w:color w:val="auto"/>
                <w:szCs w:val="21"/>
              </w:rPr>
              <w:t>契合度</w:t>
            </w:r>
            <w:r>
              <w:rPr>
                <w:rFonts w:ascii="宋体"/>
                <w:color w:val="auto"/>
                <w:szCs w:val="21"/>
              </w:rPr>
              <w:t>差距较大，无法达到合同约定的预期目标</w:t>
            </w:r>
            <w:r>
              <w:rPr>
                <w:rFonts w:hint="eastAsia" w:ascii="宋体"/>
                <w:color w:val="auto"/>
                <w:szCs w:val="21"/>
              </w:rPr>
              <w:t>。</w:t>
            </w:r>
          </w:p>
        </w:tc>
        <w:tc>
          <w:tcPr>
            <w:tcW w:w="2375" w:type="dxa"/>
            <w:tcBorders>
              <w:left w:val="single" w:color="auto" w:sz="4" w:space="0"/>
            </w:tcBorders>
            <w:vAlign w:val="center"/>
          </w:tcPr>
          <w:p w14:paraId="2BEE028B">
            <w:pPr>
              <w:ind w:firstLine="420"/>
              <w:rPr>
                <w:rFonts w:ascii="宋体"/>
                <w:color w:val="auto"/>
                <w:szCs w:val="21"/>
              </w:rPr>
            </w:pPr>
            <w:r>
              <w:rPr>
                <w:rFonts w:hint="eastAsia" w:ascii="宋体"/>
                <w:color w:val="auto"/>
                <w:szCs w:val="21"/>
              </w:rPr>
              <w:t>交付成果每缺少一项扣除乙方金额人民币2</w:t>
            </w:r>
            <w:r>
              <w:rPr>
                <w:rFonts w:ascii="宋体"/>
                <w:color w:val="auto"/>
                <w:szCs w:val="21"/>
              </w:rPr>
              <w:t>000</w:t>
            </w:r>
            <w:r>
              <w:rPr>
                <w:rFonts w:hint="eastAsia" w:ascii="宋体"/>
                <w:color w:val="auto"/>
                <w:szCs w:val="21"/>
              </w:rPr>
              <w:t>元；每有一项交付成果质量不合格扣除乙方金额人民币2</w:t>
            </w:r>
            <w:r>
              <w:rPr>
                <w:rFonts w:ascii="宋体"/>
                <w:color w:val="auto"/>
                <w:szCs w:val="21"/>
              </w:rPr>
              <w:t>000</w:t>
            </w:r>
            <w:r>
              <w:rPr>
                <w:rFonts w:hint="eastAsia" w:ascii="宋体"/>
                <w:color w:val="auto"/>
                <w:szCs w:val="21"/>
              </w:rPr>
              <w:t>元。</w:t>
            </w:r>
          </w:p>
          <w:p w14:paraId="64E453F4">
            <w:pPr>
              <w:ind w:firstLine="420"/>
              <w:rPr>
                <w:rFonts w:ascii="宋体"/>
                <w:color w:val="auto"/>
                <w:szCs w:val="21"/>
              </w:rPr>
            </w:pPr>
            <w:r>
              <w:rPr>
                <w:rFonts w:hint="eastAsia" w:ascii="宋体"/>
                <w:color w:val="auto"/>
                <w:szCs w:val="21"/>
              </w:rPr>
              <w:t>若出现</w:t>
            </w:r>
            <w:r>
              <w:rPr>
                <w:rFonts w:ascii="宋体"/>
                <w:color w:val="auto"/>
                <w:szCs w:val="21"/>
              </w:rPr>
              <w:t>重大数据质量问题</w:t>
            </w:r>
            <w:r>
              <w:rPr>
                <w:rFonts w:hint="eastAsia" w:ascii="宋体"/>
                <w:color w:val="auto"/>
                <w:szCs w:val="21"/>
              </w:rPr>
              <w:t>导致严重后果，或被上级或监管单位通报的，扣除乙方合同总金额不低于5%</w:t>
            </w:r>
            <w:r>
              <w:rPr>
                <w:rFonts w:ascii="宋体"/>
                <w:color w:val="auto"/>
                <w:szCs w:val="21"/>
              </w:rPr>
              <w:t>。</w:t>
            </w:r>
          </w:p>
        </w:tc>
        <w:tc>
          <w:tcPr>
            <w:tcW w:w="775" w:type="dxa"/>
            <w:tcBorders>
              <w:left w:val="single" w:color="auto" w:sz="4" w:space="0"/>
            </w:tcBorders>
            <w:vAlign w:val="center"/>
          </w:tcPr>
          <w:p w14:paraId="2675A018">
            <w:pPr>
              <w:ind w:firstLine="420"/>
              <w:jc w:val="left"/>
              <w:rPr>
                <w:rFonts w:ascii="宋体"/>
                <w:color w:val="auto"/>
                <w:szCs w:val="21"/>
              </w:rPr>
            </w:pPr>
          </w:p>
        </w:tc>
        <w:tc>
          <w:tcPr>
            <w:tcW w:w="745" w:type="dxa"/>
            <w:tcBorders>
              <w:left w:val="single" w:color="auto" w:sz="4" w:space="0"/>
            </w:tcBorders>
            <w:vAlign w:val="center"/>
          </w:tcPr>
          <w:p w14:paraId="098B7424">
            <w:pPr>
              <w:ind w:firstLine="420"/>
              <w:jc w:val="left"/>
              <w:rPr>
                <w:rFonts w:ascii="宋体"/>
                <w:color w:val="auto"/>
                <w:szCs w:val="21"/>
              </w:rPr>
            </w:pPr>
          </w:p>
        </w:tc>
      </w:tr>
      <w:tr w14:paraId="2D48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FA3428B">
            <w:pPr>
              <w:pStyle w:val="54"/>
              <w:rPr>
                <w:rFonts w:hint="default"/>
                <w:color w:val="auto"/>
              </w:rPr>
            </w:pPr>
            <w:r>
              <w:rPr>
                <w:color w:val="auto"/>
              </w:rPr>
              <w:t>2</w:t>
            </w:r>
          </w:p>
        </w:tc>
        <w:tc>
          <w:tcPr>
            <w:tcW w:w="782" w:type="dxa"/>
            <w:vMerge w:val="continue"/>
            <w:tcBorders>
              <w:left w:val="single" w:color="auto" w:sz="4" w:space="0"/>
            </w:tcBorders>
          </w:tcPr>
          <w:p w14:paraId="553C9E12">
            <w:pPr>
              <w:pStyle w:val="54"/>
              <w:rPr>
                <w:rFonts w:hint="default"/>
                <w:color w:val="auto"/>
              </w:rPr>
            </w:pPr>
          </w:p>
        </w:tc>
        <w:tc>
          <w:tcPr>
            <w:tcW w:w="725" w:type="dxa"/>
            <w:tcBorders>
              <w:left w:val="single" w:color="auto" w:sz="4" w:space="0"/>
            </w:tcBorders>
            <w:vAlign w:val="center"/>
          </w:tcPr>
          <w:p w14:paraId="1188EEA3">
            <w:pPr>
              <w:pStyle w:val="54"/>
              <w:rPr>
                <w:rFonts w:hint="default"/>
                <w:color w:val="auto"/>
              </w:rPr>
            </w:pPr>
            <w:r>
              <w:rPr>
                <w:color w:val="auto"/>
              </w:rPr>
              <w:t>成果交付延期情况</w:t>
            </w:r>
          </w:p>
        </w:tc>
        <w:tc>
          <w:tcPr>
            <w:tcW w:w="3412" w:type="dxa"/>
            <w:tcBorders>
              <w:left w:val="single" w:color="auto" w:sz="4" w:space="0"/>
            </w:tcBorders>
            <w:vAlign w:val="center"/>
          </w:tcPr>
          <w:p w14:paraId="4D378B60">
            <w:pPr>
              <w:ind w:firstLine="420"/>
              <w:rPr>
                <w:rFonts w:ascii="宋体"/>
                <w:color w:val="auto"/>
                <w:szCs w:val="21"/>
              </w:rPr>
            </w:pPr>
            <w:r>
              <w:rPr>
                <w:rFonts w:ascii="宋体"/>
                <w:color w:val="auto"/>
                <w:szCs w:val="21"/>
              </w:rPr>
              <w:t>用于记录</w:t>
            </w:r>
            <w:r>
              <w:rPr>
                <w:rFonts w:hint="eastAsia" w:ascii="宋体"/>
                <w:color w:val="auto"/>
                <w:szCs w:val="21"/>
              </w:rPr>
              <w:t>因乙方原因导致</w:t>
            </w:r>
            <w:r>
              <w:rPr>
                <w:rFonts w:ascii="宋体"/>
                <w:color w:val="auto"/>
                <w:szCs w:val="21"/>
              </w:rPr>
              <w:t>项目交付成果时间与合同规定时间之间的差距</w:t>
            </w:r>
          </w:p>
        </w:tc>
        <w:tc>
          <w:tcPr>
            <w:tcW w:w="4463" w:type="dxa"/>
            <w:tcBorders>
              <w:left w:val="single" w:color="auto" w:sz="4" w:space="0"/>
            </w:tcBorders>
            <w:vAlign w:val="center"/>
          </w:tcPr>
          <w:p w14:paraId="66EAC980">
            <w:pPr>
              <w:ind w:firstLine="420"/>
              <w:rPr>
                <w:rFonts w:ascii="宋体"/>
                <w:color w:val="auto"/>
                <w:szCs w:val="21"/>
              </w:rPr>
            </w:pPr>
            <w:r>
              <w:rPr>
                <w:rFonts w:hint="eastAsia" w:ascii="宋体"/>
                <w:color w:val="auto"/>
                <w:szCs w:val="21"/>
              </w:rPr>
              <w:t>实</w:t>
            </w:r>
            <w:r>
              <w:rPr>
                <w:rFonts w:ascii="宋体"/>
                <w:color w:val="auto"/>
                <w:szCs w:val="21"/>
              </w:rPr>
              <w:t>际交付成果日期与合同约定交付日期之差</w:t>
            </w:r>
          </w:p>
          <w:p w14:paraId="5841155B">
            <w:pPr>
              <w:ind w:firstLine="422"/>
              <w:rPr>
                <w:rFonts w:ascii="宋体"/>
                <w:color w:val="auto"/>
                <w:szCs w:val="21"/>
              </w:rPr>
            </w:pPr>
            <w:r>
              <w:rPr>
                <w:rFonts w:hint="eastAsia" w:ascii="宋体"/>
                <w:b/>
                <w:bCs/>
                <w:color w:val="auto"/>
                <w:szCs w:val="21"/>
              </w:rPr>
              <w:t>【得分上限5分】</w:t>
            </w:r>
          </w:p>
          <w:p w14:paraId="53DD2670">
            <w:pPr>
              <w:ind w:firstLine="422"/>
              <w:rPr>
                <w:rFonts w:ascii="宋体"/>
                <w:color w:val="auto"/>
                <w:szCs w:val="21"/>
              </w:rPr>
            </w:pPr>
            <w:r>
              <w:rPr>
                <w:rFonts w:hint="eastAsia" w:ascii="宋体"/>
                <w:b/>
                <w:bCs/>
                <w:color w:val="auto"/>
                <w:szCs w:val="21"/>
              </w:rPr>
              <w:t>无延期：</w:t>
            </w:r>
            <w:r>
              <w:rPr>
                <w:rFonts w:hint="eastAsia" w:ascii="宋体"/>
                <w:color w:val="auto"/>
                <w:szCs w:val="21"/>
              </w:rPr>
              <w:t>指未出现延期，该项指标满分；</w:t>
            </w:r>
          </w:p>
          <w:p w14:paraId="6618837B">
            <w:pPr>
              <w:ind w:firstLine="422"/>
              <w:rPr>
                <w:rFonts w:ascii="宋体"/>
                <w:color w:val="auto"/>
                <w:szCs w:val="21"/>
              </w:rPr>
            </w:pPr>
            <w:r>
              <w:rPr>
                <w:rFonts w:hint="eastAsia" w:ascii="宋体"/>
                <w:b/>
                <w:bCs/>
                <w:color w:val="auto"/>
                <w:szCs w:val="21"/>
              </w:rPr>
              <w:t>0＜延期≤3个月：</w:t>
            </w:r>
            <w:r>
              <w:rPr>
                <w:rFonts w:hint="eastAsia" w:ascii="宋体"/>
                <w:color w:val="auto"/>
                <w:szCs w:val="21"/>
              </w:rPr>
              <w:t>扣2分，指出现延期3个月</w:t>
            </w:r>
            <w:r>
              <w:rPr>
                <w:rFonts w:ascii="宋体"/>
                <w:color w:val="auto"/>
                <w:szCs w:val="21"/>
              </w:rPr>
              <w:t>（含）</w:t>
            </w:r>
            <w:r>
              <w:rPr>
                <w:rFonts w:hint="eastAsia" w:ascii="宋体"/>
                <w:color w:val="auto"/>
                <w:szCs w:val="21"/>
              </w:rPr>
              <w:t>以内；</w:t>
            </w:r>
          </w:p>
          <w:p w14:paraId="5578FBFF">
            <w:pPr>
              <w:ind w:firstLine="422"/>
              <w:rPr>
                <w:rFonts w:ascii="宋体"/>
                <w:color w:val="auto"/>
                <w:szCs w:val="21"/>
              </w:rPr>
            </w:pPr>
            <w:r>
              <w:rPr>
                <w:rFonts w:hint="eastAsia" w:ascii="宋体"/>
                <w:b/>
                <w:bCs/>
                <w:color w:val="auto"/>
                <w:szCs w:val="21"/>
              </w:rPr>
              <w:t>3＜延期≤6个月：</w:t>
            </w:r>
            <w:r>
              <w:rPr>
                <w:rFonts w:hint="eastAsia" w:ascii="宋体"/>
                <w:color w:val="auto"/>
                <w:szCs w:val="21"/>
              </w:rPr>
              <w:t>扣3分，指出现延期大于3个月且小于等于6个月；</w:t>
            </w:r>
          </w:p>
          <w:p w14:paraId="1D683836">
            <w:pPr>
              <w:ind w:firstLine="422"/>
              <w:rPr>
                <w:rFonts w:ascii="宋体"/>
                <w:b/>
                <w:bCs/>
                <w:color w:val="auto"/>
                <w:szCs w:val="21"/>
              </w:rPr>
            </w:pPr>
            <w:r>
              <w:rPr>
                <w:rFonts w:hint="eastAsia" w:ascii="宋体"/>
                <w:b/>
                <w:bCs/>
                <w:color w:val="auto"/>
                <w:szCs w:val="21"/>
              </w:rPr>
              <w:t>延期6个月以上：</w:t>
            </w:r>
            <w:r>
              <w:rPr>
                <w:rFonts w:hint="eastAsia" w:ascii="宋体"/>
                <w:color w:val="auto"/>
                <w:szCs w:val="21"/>
              </w:rPr>
              <w:t>扣5分，指出现延期6个月以上。</w:t>
            </w:r>
          </w:p>
        </w:tc>
        <w:tc>
          <w:tcPr>
            <w:tcW w:w="2375" w:type="dxa"/>
            <w:tcBorders>
              <w:left w:val="single" w:color="auto" w:sz="4" w:space="0"/>
            </w:tcBorders>
            <w:vAlign w:val="center"/>
          </w:tcPr>
          <w:p w14:paraId="42412989">
            <w:pPr>
              <w:ind w:firstLine="420"/>
              <w:rPr>
                <w:rFonts w:ascii="宋体"/>
                <w:b/>
                <w:bCs/>
                <w:color w:val="auto"/>
                <w:szCs w:val="21"/>
              </w:rPr>
            </w:pPr>
            <w:r>
              <w:rPr>
                <w:rFonts w:hint="eastAsia" w:ascii="宋体"/>
                <w:color w:val="auto"/>
                <w:szCs w:val="21"/>
              </w:rPr>
              <w:t>若延期超过1个月，每延期增加一天扣除合同总金额的0.1%（注：最多扣除不超过合同总金额的10%）。</w:t>
            </w:r>
          </w:p>
        </w:tc>
        <w:tc>
          <w:tcPr>
            <w:tcW w:w="775" w:type="dxa"/>
            <w:tcBorders>
              <w:left w:val="single" w:color="auto" w:sz="4" w:space="0"/>
            </w:tcBorders>
            <w:vAlign w:val="center"/>
          </w:tcPr>
          <w:p w14:paraId="58E35644">
            <w:pPr>
              <w:ind w:firstLine="420"/>
              <w:jc w:val="left"/>
              <w:rPr>
                <w:rFonts w:ascii="宋体"/>
                <w:color w:val="auto"/>
                <w:szCs w:val="21"/>
              </w:rPr>
            </w:pPr>
          </w:p>
        </w:tc>
        <w:tc>
          <w:tcPr>
            <w:tcW w:w="745" w:type="dxa"/>
            <w:tcBorders>
              <w:left w:val="single" w:color="auto" w:sz="4" w:space="0"/>
            </w:tcBorders>
            <w:vAlign w:val="center"/>
          </w:tcPr>
          <w:p w14:paraId="24716551">
            <w:pPr>
              <w:ind w:firstLine="420"/>
              <w:jc w:val="left"/>
              <w:rPr>
                <w:rFonts w:ascii="宋体"/>
                <w:color w:val="auto"/>
                <w:szCs w:val="21"/>
              </w:rPr>
            </w:pPr>
          </w:p>
        </w:tc>
      </w:tr>
      <w:tr w14:paraId="1B64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5A8F706">
            <w:pPr>
              <w:pStyle w:val="54"/>
              <w:rPr>
                <w:rFonts w:hint="default"/>
                <w:color w:val="auto"/>
              </w:rPr>
            </w:pPr>
            <w:r>
              <w:rPr>
                <w:color w:val="auto"/>
              </w:rPr>
              <w:t>3</w:t>
            </w:r>
          </w:p>
        </w:tc>
        <w:tc>
          <w:tcPr>
            <w:tcW w:w="782" w:type="dxa"/>
            <w:vMerge w:val="continue"/>
            <w:tcBorders>
              <w:left w:val="single" w:color="auto" w:sz="4" w:space="0"/>
            </w:tcBorders>
          </w:tcPr>
          <w:p w14:paraId="4E198C2D">
            <w:pPr>
              <w:pStyle w:val="54"/>
              <w:rPr>
                <w:rFonts w:hint="default"/>
                <w:color w:val="auto"/>
              </w:rPr>
            </w:pPr>
          </w:p>
        </w:tc>
        <w:tc>
          <w:tcPr>
            <w:tcW w:w="725" w:type="dxa"/>
            <w:tcBorders>
              <w:left w:val="single" w:color="auto" w:sz="4" w:space="0"/>
            </w:tcBorders>
            <w:vAlign w:val="center"/>
          </w:tcPr>
          <w:p w14:paraId="452382DF">
            <w:pPr>
              <w:pStyle w:val="54"/>
              <w:rPr>
                <w:rFonts w:hint="default"/>
                <w:color w:val="auto"/>
              </w:rPr>
            </w:pPr>
            <w:r>
              <w:rPr>
                <w:color w:val="auto"/>
              </w:rPr>
              <w:t>产品缺陷密度</w:t>
            </w:r>
          </w:p>
        </w:tc>
        <w:tc>
          <w:tcPr>
            <w:tcW w:w="3412" w:type="dxa"/>
            <w:tcBorders>
              <w:left w:val="single" w:color="auto" w:sz="4" w:space="0"/>
            </w:tcBorders>
            <w:vAlign w:val="center"/>
          </w:tcPr>
          <w:p w14:paraId="7E608DC2">
            <w:pPr>
              <w:ind w:firstLine="420"/>
              <w:rPr>
                <w:rFonts w:ascii="宋体"/>
                <w:color w:val="auto"/>
                <w:szCs w:val="21"/>
              </w:rPr>
            </w:pPr>
            <w:r>
              <w:rPr>
                <w:rFonts w:ascii="宋体"/>
                <w:color w:val="auto"/>
                <w:szCs w:val="21"/>
              </w:rPr>
              <w:t>用于记录统计周期内单位功能</w:t>
            </w:r>
            <w:r>
              <w:rPr>
                <w:rFonts w:hint="eastAsia" w:ascii="宋体"/>
                <w:color w:val="auto"/>
                <w:szCs w:val="21"/>
              </w:rPr>
              <w:t>（案例）</w:t>
            </w:r>
            <w:r>
              <w:rPr>
                <w:rFonts w:ascii="宋体"/>
                <w:color w:val="auto"/>
                <w:szCs w:val="21"/>
              </w:rPr>
              <w:t>点发现的缺陷数量</w:t>
            </w:r>
          </w:p>
        </w:tc>
        <w:tc>
          <w:tcPr>
            <w:tcW w:w="4463" w:type="dxa"/>
            <w:tcBorders>
              <w:left w:val="single" w:color="auto" w:sz="4" w:space="0"/>
            </w:tcBorders>
            <w:vAlign w:val="center"/>
          </w:tcPr>
          <w:p w14:paraId="592B4921">
            <w:pPr>
              <w:ind w:firstLine="420"/>
              <w:rPr>
                <w:rFonts w:ascii="宋体"/>
                <w:color w:val="auto"/>
                <w:szCs w:val="21"/>
              </w:rPr>
            </w:pPr>
            <w:r>
              <w:rPr>
                <w:rFonts w:hint="eastAsia" w:ascii="宋体"/>
                <w:color w:val="auto"/>
                <w:szCs w:val="21"/>
              </w:rPr>
              <w:t>产</w:t>
            </w:r>
            <w:r>
              <w:rPr>
                <w:rFonts w:ascii="宋体"/>
                <w:color w:val="auto"/>
                <w:szCs w:val="21"/>
              </w:rPr>
              <w:t>品缺陷密度=统计周期内发现的该系统有效缺陷数/统计周期内该系统功能点总数</w:t>
            </w:r>
            <w:r>
              <w:rPr>
                <w:rFonts w:hint="eastAsia" w:ascii="宋体"/>
                <w:color w:val="auto"/>
                <w:szCs w:val="21"/>
              </w:rPr>
              <w:t>（案例数）</w:t>
            </w:r>
          </w:p>
          <w:p w14:paraId="6CA1685A">
            <w:pPr>
              <w:ind w:firstLine="422"/>
              <w:rPr>
                <w:rFonts w:ascii="宋体"/>
                <w:b/>
                <w:color w:val="auto"/>
                <w:szCs w:val="21"/>
              </w:rPr>
            </w:pPr>
            <w:r>
              <w:rPr>
                <w:rFonts w:hint="eastAsia" w:ascii="宋体"/>
                <w:b/>
                <w:color w:val="auto"/>
                <w:szCs w:val="21"/>
              </w:rPr>
              <w:t>10分【0-5%】</w:t>
            </w:r>
          </w:p>
          <w:p w14:paraId="072D3E15">
            <w:pPr>
              <w:ind w:firstLine="422"/>
              <w:rPr>
                <w:rFonts w:ascii="宋体"/>
                <w:b/>
                <w:color w:val="auto"/>
                <w:szCs w:val="21"/>
              </w:rPr>
            </w:pPr>
            <w:r>
              <w:rPr>
                <w:rFonts w:hint="eastAsia" w:ascii="宋体"/>
                <w:b/>
                <w:color w:val="auto"/>
                <w:szCs w:val="21"/>
              </w:rPr>
              <w:t>5分【5%-20%】</w:t>
            </w:r>
          </w:p>
          <w:p w14:paraId="6DB368FE">
            <w:pPr>
              <w:ind w:firstLine="422"/>
              <w:rPr>
                <w:rFonts w:ascii="宋体"/>
                <w:b/>
                <w:color w:val="auto"/>
                <w:szCs w:val="21"/>
              </w:rPr>
            </w:pPr>
            <w:r>
              <w:rPr>
                <w:rFonts w:hint="eastAsia" w:ascii="宋体"/>
                <w:b/>
                <w:color w:val="auto"/>
                <w:szCs w:val="21"/>
              </w:rPr>
              <w:t>0分【超过20%】</w:t>
            </w:r>
          </w:p>
        </w:tc>
        <w:tc>
          <w:tcPr>
            <w:tcW w:w="2375" w:type="dxa"/>
            <w:tcBorders>
              <w:left w:val="single" w:color="auto" w:sz="4" w:space="0"/>
            </w:tcBorders>
            <w:vAlign w:val="center"/>
          </w:tcPr>
          <w:p w14:paraId="16CFCF6A">
            <w:pPr>
              <w:ind w:firstLine="420"/>
              <w:rPr>
                <w:rFonts w:ascii="宋体"/>
                <w:color w:val="auto"/>
                <w:szCs w:val="21"/>
              </w:rPr>
            </w:pPr>
            <w:r>
              <w:rPr>
                <w:rFonts w:hint="eastAsia" w:ascii="宋体"/>
                <w:color w:val="auto"/>
                <w:szCs w:val="21"/>
              </w:rPr>
              <w:t>产</w:t>
            </w:r>
            <w:r>
              <w:rPr>
                <w:rFonts w:ascii="宋体"/>
                <w:color w:val="auto"/>
                <w:szCs w:val="21"/>
              </w:rPr>
              <w:t>品缺</w:t>
            </w:r>
            <w:r>
              <w:rPr>
                <w:rFonts w:hint="eastAsia" w:ascii="宋体"/>
                <w:color w:val="auto"/>
                <w:szCs w:val="21"/>
              </w:rPr>
              <w:t>陷</w:t>
            </w:r>
            <w:r>
              <w:rPr>
                <w:rFonts w:ascii="宋体"/>
                <w:color w:val="auto"/>
                <w:szCs w:val="21"/>
              </w:rPr>
              <w:t>密度</w:t>
            </w:r>
            <w:r>
              <w:rPr>
                <w:rFonts w:hint="eastAsia" w:ascii="宋体"/>
                <w:color w:val="auto"/>
                <w:szCs w:val="21"/>
              </w:rPr>
              <w:t>超过20%，缺陷密度每增加1%扣除合同总金额的0.1%。</w:t>
            </w:r>
          </w:p>
        </w:tc>
        <w:tc>
          <w:tcPr>
            <w:tcW w:w="775" w:type="dxa"/>
            <w:tcBorders>
              <w:left w:val="single" w:color="auto" w:sz="4" w:space="0"/>
            </w:tcBorders>
            <w:vAlign w:val="center"/>
          </w:tcPr>
          <w:p w14:paraId="3D54C1CA">
            <w:pPr>
              <w:ind w:firstLine="420"/>
              <w:jc w:val="left"/>
              <w:rPr>
                <w:rFonts w:ascii="宋体"/>
                <w:color w:val="auto"/>
                <w:szCs w:val="21"/>
              </w:rPr>
            </w:pPr>
          </w:p>
        </w:tc>
        <w:tc>
          <w:tcPr>
            <w:tcW w:w="745" w:type="dxa"/>
            <w:tcBorders>
              <w:left w:val="single" w:color="auto" w:sz="4" w:space="0"/>
            </w:tcBorders>
            <w:vAlign w:val="center"/>
          </w:tcPr>
          <w:p w14:paraId="779B49A2">
            <w:pPr>
              <w:ind w:firstLine="420"/>
              <w:jc w:val="left"/>
              <w:rPr>
                <w:rFonts w:ascii="宋体"/>
                <w:color w:val="auto"/>
                <w:szCs w:val="21"/>
              </w:rPr>
            </w:pPr>
          </w:p>
        </w:tc>
      </w:tr>
      <w:tr w14:paraId="1AB2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0EFF523">
            <w:pPr>
              <w:pStyle w:val="54"/>
              <w:rPr>
                <w:rFonts w:hint="default"/>
                <w:color w:val="auto"/>
              </w:rPr>
            </w:pPr>
            <w:r>
              <w:rPr>
                <w:color w:val="auto"/>
              </w:rPr>
              <w:t>4</w:t>
            </w:r>
          </w:p>
        </w:tc>
        <w:tc>
          <w:tcPr>
            <w:tcW w:w="782" w:type="dxa"/>
            <w:vMerge w:val="continue"/>
            <w:tcBorders>
              <w:left w:val="single" w:color="auto" w:sz="4" w:space="0"/>
            </w:tcBorders>
          </w:tcPr>
          <w:p w14:paraId="109BE4E2">
            <w:pPr>
              <w:pStyle w:val="54"/>
              <w:rPr>
                <w:rFonts w:hint="default"/>
                <w:color w:val="auto"/>
              </w:rPr>
            </w:pPr>
          </w:p>
        </w:tc>
        <w:tc>
          <w:tcPr>
            <w:tcW w:w="725" w:type="dxa"/>
            <w:tcBorders>
              <w:left w:val="single" w:color="auto" w:sz="4" w:space="0"/>
            </w:tcBorders>
            <w:vAlign w:val="center"/>
          </w:tcPr>
          <w:p w14:paraId="47A8692D">
            <w:pPr>
              <w:pStyle w:val="54"/>
              <w:rPr>
                <w:rFonts w:hint="default"/>
                <w:color w:val="auto"/>
              </w:rPr>
            </w:pPr>
            <w:r>
              <w:rPr>
                <w:color w:val="auto"/>
              </w:rPr>
              <w:t>缺陷解决率</w:t>
            </w:r>
          </w:p>
        </w:tc>
        <w:tc>
          <w:tcPr>
            <w:tcW w:w="3412" w:type="dxa"/>
            <w:tcBorders>
              <w:left w:val="single" w:color="auto" w:sz="4" w:space="0"/>
            </w:tcBorders>
            <w:vAlign w:val="center"/>
          </w:tcPr>
          <w:p w14:paraId="22D7B5BC">
            <w:pPr>
              <w:ind w:firstLine="420"/>
              <w:rPr>
                <w:rFonts w:ascii="宋体"/>
                <w:color w:val="auto"/>
                <w:szCs w:val="21"/>
              </w:rPr>
            </w:pPr>
            <w:r>
              <w:rPr>
                <w:rFonts w:ascii="宋体"/>
                <w:color w:val="auto"/>
                <w:szCs w:val="21"/>
              </w:rPr>
              <w:t>用于记录统计周期内测试发现的缺陷中已解决缺陷的比例</w:t>
            </w:r>
          </w:p>
        </w:tc>
        <w:tc>
          <w:tcPr>
            <w:tcW w:w="4463" w:type="dxa"/>
            <w:tcBorders>
              <w:left w:val="single" w:color="auto" w:sz="4" w:space="0"/>
            </w:tcBorders>
            <w:vAlign w:val="center"/>
          </w:tcPr>
          <w:p w14:paraId="4863A8F1">
            <w:pPr>
              <w:ind w:firstLine="420"/>
              <w:rPr>
                <w:rFonts w:ascii="宋体"/>
                <w:color w:val="auto"/>
                <w:szCs w:val="21"/>
              </w:rPr>
            </w:pPr>
            <w:r>
              <w:rPr>
                <w:rFonts w:ascii="宋体"/>
                <w:color w:val="auto"/>
                <w:szCs w:val="21"/>
              </w:rPr>
              <w:t>缺陷解决率=统计周期内测试发现的有效缺陷中已解决的数量/统计周期内测试发现的有效缺陷总数量</w:t>
            </w:r>
          </w:p>
          <w:p w14:paraId="3254EF82">
            <w:pPr>
              <w:ind w:firstLine="422"/>
              <w:rPr>
                <w:rFonts w:ascii="宋体"/>
                <w:b/>
                <w:color w:val="auto"/>
                <w:szCs w:val="21"/>
              </w:rPr>
            </w:pPr>
            <w:r>
              <w:rPr>
                <w:rFonts w:hint="eastAsia" w:ascii="宋体"/>
                <w:b/>
                <w:color w:val="auto"/>
                <w:szCs w:val="21"/>
              </w:rPr>
              <w:t>10分【98%-100%】</w:t>
            </w:r>
          </w:p>
          <w:p w14:paraId="7F750C6A">
            <w:pPr>
              <w:ind w:firstLine="422"/>
              <w:rPr>
                <w:rFonts w:ascii="宋体"/>
                <w:b/>
                <w:color w:val="auto"/>
                <w:szCs w:val="21"/>
              </w:rPr>
            </w:pPr>
            <w:r>
              <w:rPr>
                <w:rFonts w:hint="eastAsia" w:ascii="宋体"/>
                <w:b/>
                <w:color w:val="auto"/>
                <w:szCs w:val="21"/>
              </w:rPr>
              <w:t>5分【95%-97%】</w:t>
            </w:r>
          </w:p>
          <w:p w14:paraId="486A3592">
            <w:pPr>
              <w:ind w:firstLine="422"/>
              <w:rPr>
                <w:rFonts w:ascii="宋体"/>
                <w:b/>
                <w:color w:val="auto"/>
                <w:szCs w:val="21"/>
              </w:rPr>
            </w:pPr>
            <w:r>
              <w:rPr>
                <w:rFonts w:hint="eastAsia" w:ascii="宋体"/>
                <w:b/>
                <w:color w:val="auto"/>
                <w:szCs w:val="21"/>
              </w:rPr>
              <w:t>0分【低于95%】</w:t>
            </w:r>
          </w:p>
        </w:tc>
        <w:tc>
          <w:tcPr>
            <w:tcW w:w="2375" w:type="dxa"/>
            <w:tcBorders>
              <w:left w:val="single" w:color="auto" w:sz="4" w:space="0"/>
            </w:tcBorders>
            <w:vAlign w:val="center"/>
          </w:tcPr>
          <w:p w14:paraId="2D95EDA5">
            <w:pPr>
              <w:ind w:firstLine="420"/>
              <w:rPr>
                <w:rFonts w:ascii="宋体"/>
                <w:color w:val="auto"/>
                <w:szCs w:val="21"/>
              </w:rPr>
            </w:pPr>
            <w:r>
              <w:rPr>
                <w:rFonts w:hint="eastAsia" w:ascii="宋体"/>
                <w:color w:val="auto"/>
                <w:szCs w:val="21"/>
              </w:rPr>
              <w:t>若</w:t>
            </w:r>
            <w:r>
              <w:rPr>
                <w:rFonts w:ascii="宋体"/>
                <w:color w:val="auto"/>
                <w:szCs w:val="21"/>
              </w:rPr>
              <w:t>缺陷解决率</w:t>
            </w:r>
            <w:r>
              <w:rPr>
                <w:rFonts w:hint="eastAsia" w:ascii="宋体"/>
                <w:bCs/>
                <w:color w:val="auto"/>
                <w:szCs w:val="21"/>
              </w:rPr>
              <w:t>低于95</w:t>
            </w:r>
            <w:r>
              <w:rPr>
                <w:rFonts w:hint="eastAsia" w:ascii="宋体"/>
                <w:color w:val="auto"/>
                <w:szCs w:val="21"/>
              </w:rPr>
              <w:t>%，</w:t>
            </w:r>
            <w:r>
              <w:rPr>
                <w:rFonts w:ascii="宋体"/>
                <w:color w:val="auto"/>
                <w:szCs w:val="21"/>
              </w:rPr>
              <w:t>缺陷</w:t>
            </w:r>
            <w:r>
              <w:rPr>
                <w:rFonts w:hint="eastAsia" w:ascii="宋体"/>
                <w:color w:val="auto"/>
                <w:szCs w:val="21"/>
              </w:rPr>
              <w:t>解决率每低1%扣除合同总金额的0.1%。</w:t>
            </w:r>
          </w:p>
        </w:tc>
        <w:tc>
          <w:tcPr>
            <w:tcW w:w="775" w:type="dxa"/>
            <w:tcBorders>
              <w:left w:val="single" w:color="auto" w:sz="4" w:space="0"/>
            </w:tcBorders>
            <w:vAlign w:val="center"/>
          </w:tcPr>
          <w:p w14:paraId="6BCA90FB">
            <w:pPr>
              <w:ind w:firstLine="420"/>
              <w:jc w:val="left"/>
              <w:rPr>
                <w:rFonts w:ascii="宋体"/>
                <w:color w:val="auto"/>
                <w:szCs w:val="21"/>
              </w:rPr>
            </w:pPr>
          </w:p>
        </w:tc>
        <w:tc>
          <w:tcPr>
            <w:tcW w:w="745" w:type="dxa"/>
            <w:tcBorders>
              <w:left w:val="single" w:color="auto" w:sz="4" w:space="0"/>
            </w:tcBorders>
            <w:vAlign w:val="center"/>
          </w:tcPr>
          <w:p w14:paraId="5528D64F">
            <w:pPr>
              <w:ind w:firstLine="420"/>
              <w:jc w:val="left"/>
              <w:rPr>
                <w:rFonts w:ascii="宋体"/>
                <w:color w:val="auto"/>
                <w:szCs w:val="21"/>
              </w:rPr>
            </w:pPr>
          </w:p>
        </w:tc>
      </w:tr>
      <w:tr w14:paraId="5021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9618027">
            <w:pPr>
              <w:pStyle w:val="54"/>
              <w:rPr>
                <w:rFonts w:hint="default"/>
                <w:color w:val="auto"/>
              </w:rPr>
            </w:pPr>
            <w:r>
              <w:rPr>
                <w:color w:val="auto"/>
              </w:rPr>
              <w:t>5</w:t>
            </w:r>
          </w:p>
        </w:tc>
        <w:tc>
          <w:tcPr>
            <w:tcW w:w="782" w:type="dxa"/>
            <w:vMerge w:val="restart"/>
            <w:tcBorders>
              <w:left w:val="single" w:color="auto" w:sz="4" w:space="0"/>
            </w:tcBorders>
            <w:vAlign w:val="center"/>
          </w:tcPr>
          <w:p w14:paraId="3C7E21F9">
            <w:pPr>
              <w:pStyle w:val="54"/>
              <w:rPr>
                <w:rFonts w:hint="default"/>
                <w:color w:val="auto"/>
              </w:rPr>
            </w:pPr>
            <w:r>
              <w:rPr>
                <w:color w:val="auto"/>
              </w:rPr>
              <w:t>协议履行</w:t>
            </w:r>
          </w:p>
        </w:tc>
        <w:tc>
          <w:tcPr>
            <w:tcW w:w="725" w:type="dxa"/>
            <w:tcBorders>
              <w:left w:val="single" w:color="auto" w:sz="4" w:space="0"/>
            </w:tcBorders>
            <w:vAlign w:val="center"/>
          </w:tcPr>
          <w:p w14:paraId="4DEA2413">
            <w:pPr>
              <w:pStyle w:val="54"/>
              <w:rPr>
                <w:rFonts w:hint="default"/>
                <w:color w:val="auto"/>
              </w:rPr>
            </w:pPr>
            <w:r>
              <w:rPr>
                <w:color w:val="auto"/>
              </w:rPr>
              <w:t>重大事项报告</w:t>
            </w:r>
          </w:p>
        </w:tc>
        <w:tc>
          <w:tcPr>
            <w:tcW w:w="3412" w:type="dxa"/>
            <w:tcBorders>
              <w:left w:val="single" w:color="auto" w:sz="4" w:space="0"/>
            </w:tcBorders>
            <w:vAlign w:val="center"/>
          </w:tcPr>
          <w:p w14:paraId="2A76C5D8">
            <w:pPr>
              <w:ind w:firstLine="420"/>
              <w:rPr>
                <w:rFonts w:ascii="宋体"/>
                <w:color w:val="auto"/>
                <w:szCs w:val="21"/>
              </w:rPr>
            </w:pPr>
            <w:r>
              <w:rPr>
                <w:rFonts w:hint="eastAsia" w:ascii="宋体"/>
                <w:color w:val="auto"/>
                <w:szCs w:val="21"/>
              </w:rPr>
              <w:t>用于记录乙方应对自身的财务、内控及安全管理进行持续监控，将自身因破产、兼并、关键人员流失、投入不足和管理不善等引发的财务状况恶化及内部管理混乱等情况告知甲方的评价</w:t>
            </w:r>
          </w:p>
        </w:tc>
        <w:tc>
          <w:tcPr>
            <w:tcW w:w="4463" w:type="dxa"/>
            <w:tcBorders>
              <w:left w:val="single" w:color="auto" w:sz="4" w:space="0"/>
            </w:tcBorders>
            <w:vAlign w:val="center"/>
          </w:tcPr>
          <w:p w14:paraId="2990BA40">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指无重大事项或当发生重大事项时，能够于24小时内</w:t>
            </w:r>
            <w:r>
              <w:rPr>
                <w:rFonts w:hint="eastAsia" w:ascii="宋体"/>
                <w:color w:val="auto"/>
                <w:szCs w:val="21"/>
              </w:rPr>
              <w:t>告知甲方；</w:t>
            </w:r>
          </w:p>
          <w:p w14:paraId="3045E75E">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指当发生重大事项时，能够于一周内告知</w:t>
            </w:r>
            <w:r>
              <w:rPr>
                <w:rFonts w:hint="eastAsia" w:ascii="宋体"/>
                <w:color w:val="auto"/>
                <w:szCs w:val="21"/>
              </w:rPr>
              <w:t>甲方；</w:t>
            </w:r>
          </w:p>
          <w:p w14:paraId="04C9CAE2">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指当发生重大事项时，能够于一</w:t>
            </w:r>
            <w:r>
              <w:rPr>
                <w:rFonts w:hint="eastAsia" w:ascii="宋体"/>
                <w:color w:val="auto"/>
                <w:szCs w:val="21"/>
              </w:rPr>
              <w:t>月</w:t>
            </w:r>
            <w:r>
              <w:rPr>
                <w:rFonts w:ascii="宋体"/>
                <w:color w:val="auto"/>
                <w:szCs w:val="21"/>
              </w:rPr>
              <w:t>内告知</w:t>
            </w:r>
            <w:r>
              <w:rPr>
                <w:rFonts w:hint="eastAsia" w:ascii="宋体"/>
                <w:color w:val="auto"/>
                <w:szCs w:val="21"/>
              </w:rPr>
              <w:t>甲方；</w:t>
            </w:r>
          </w:p>
          <w:p w14:paraId="4C78E963">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指当发生重大事项时，</w:t>
            </w:r>
            <w:r>
              <w:rPr>
                <w:rFonts w:hint="eastAsia" w:ascii="宋体"/>
                <w:color w:val="auto"/>
                <w:szCs w:val="21"/>
              </w:rPr>
              <w:t>未</w:t>
            </w:r>
            <w:r>
              <w:rPr>
                <w:rFonts w:ascii="宋体"/>
                <w:color w:val="auto"/>
                <w:szCs w:val="21"/>
              </w:rPr>
              <w:t>告知</w:t>
            </w:r>
            <w:r>
              <w:rPr>
                <w:rFonts w:hint="eastAsia" w:ascii="宋体"/>
                <w:color w:val="auto"/>
                <w:szCs w:val="21"/>
              </w:rPr>
              <w:t>甲方。</w:t>
            </w:r>
          </w:p>
        </w:tc>
        <w:tc>
          <w:tcPr>
            <w:tcW w:w="2375" w:type="dxa"/>
            <w:tcBorders>
              <w:left w:val="single" w:color="auto" w:sz="4" w:space="0"/>
            </w:tcBorders>
            <w:vAlign w:val="center"/>
          </w:tcPr>
          <w:p w14:paraId="559E5806">
            <w:pPr>
              <w:ind w:firstLine="420"/>
              <w:rPr>
                <w:rFonts w:ascii="宋体"/>
                <w:color w:val="auto"/>
                <w:szCs w:val="21"/>
              </w:rPr>
            </w:pPr>
            <w:r>
              <w:rPr>
                <w:rFonts w:hint="eastAsia" w:ascii="宋体"/>
                <w:color w:val="auto"/>
                <w:szCs w:val="21"/>
              </w:rPr>
              <w:t>评价为较差/差时，甲方根据实际情况有权终止合同，并要求乙方赔偿实际损失。</w:t>
            </w:r>
          </w:p>
        </w:tc>
        <w:tc>
          <w:tcPr>
            <w:tcW w:w="775" w:type="dxa"/>
            <w:tcBorders>
              <w:left w:val="single" w:color="auto" w:sz="4" w:space="0"/>
            </w:tcBorders>
            <w:vAlign w:val="center"/>
          </w:tcPr>
          <w:p w14:paraId="36A3CEF3">
            <w:pPr>
              <w:ind w:firstLine="420"/>
              <w:jc w:val="left"/>
              <w:rPr>
                <w:rFonts w:ascii="宋体"/>
                <w:color w:val="auto"/>
                <w:szCs w:val="21"/>
              </w:rPr>
            </w:pPr>
          </w:p>
        </w:tc>
        <w:tc>
          <w:tcPr>
            <w:tcW w:w="745" w:type="dxa"/>
            <w:tcBorders>
              <w:left w:val="single" w:color="auto" w:sz="4" w:space="0"/>
            </w:tcBorders>
            <w:vAlign w:val="center"/>
          </w:tcPr>
          <w:p w14:paraId="454701EA">
            <w:pPr>
              <w:ind w:firstLine="420"/>
              <w:jc w:val="left"/>
              <w:rPr>
                <w:rFonts w:ascii="宋体"/>
                <w:color w:val="auto"/>
                <w:szCs w:val="21"/>
              </w:rPr>
            </w:pPr>
          </w:p>
        </w:tc>
      </w:tr>
      <w:tr w14:paraId="2538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87A99BF">
            <w:pPr>
              <w:pStyle w:val="54"/>
              <w:rPr>
                <w:rFonts w:hint="default"/>
                <w:color w:val="auto"/>
              </w:rPr>
            </w:pPr>
            <w:r>
              <w:rPr>
                <w:color w:val="auto"/>
              </w:rPr>
              <w:t>6</w:t>
            </w:r>
          </w:p>
        </w:tc>
        <w:tc>
          <w:tcPr>
            <w:tcW w:w="782" w:type="dxa"/>
            <w:vMerge w:val="continue"/>
            <w:tcBorders>
              <w:left w:val="single" w:color="auto" w:sz="4" w:space="0"/>
            </w:tcBorders>
          </w:tcPr>
          <w:p w14:paraId="0268FCB2">
            <w:pPr>
              <w:pStyle w:val="54"/>
              <w:rPr>
                <w:rFonts w:hint="default"/>
                <w:color w:val="auto"/>
              </w:rPr>
            </w:pPr>
          </w:p>
        </w:tc>
        <w:tc>
          <w:tcPr>
            <w:tcW w:w="725" w:type="dxa"/>
            <w:tcBorders>
              <w:left w:val="single" w:color="auto" w:sz="4" w:space="0"/>
            </w:tcBorders>
            <w:vAlign w:val="center"/>
          </w:tcPr>
          <w:p w14:paraId="10B2F702">
            <w:pPr>
              <w:pStyle w:val="54"/>
              <w:rPr>
                <w:rFonts w:hint="default"/>
                <w:color w:val="auto"/>
              </w:rPr>
            </w:pPr>
            <w:r>
              <w:rPr>
                <w:color w:val="auto"/>
              </w:rPr>
              <w:t>重大事件及质量缺陷</w:t>
            </w:r>
          </w:p>
        </w:tc>
        <w:tc>
          <w:tcPr>
            <w:tcW w:w="3412" w:type="dxa"/>
            <w:tcBorders>
              <w:left w:val="single" w:color="auto" w:sz="4" w:space="0"/>
            </w:tcBorders>
            <w:vAlign w:val="center"/>
          </w:tcPr>
          <w:p w14:paraId="3CBAC000">
            <w:pPr>
              <w:ind w:firstLine="420"/>
              <w:rPr>
                <w:rFonts w:ascii="宋体"/>
                <w:color w:val="auto"/>
                <w:szCs w:val="21"/>
              </w:rPr>
            </w:pPr>
            <w:r>
              <w:rPr>
                <w:rFonts w:hint="eastAsia" w:ascii="宋体"/>
                <w:color w:val="auto"/>
                <w:szCs w:val="21"/>
              </w:rPr>
              <w:t>用</w:t>
            </w:r>
            <w:r>
              <w:rPr>
                <w:rFonts w:ascii="宋体"/>
                <w:color w:val="auto"/>
                <w:szCs w:val="21"/>
              </w:rPr>
              <w:t>于记录</w:t>
            </w:r>
            <w:r>
              <w:rPr>
                <w:rFonts w:hint="eastAsia" w:ascii="宋体"/>
                <w:color w:val="auto"/>
                <w:szCs w:val="21"/>
              </w:rPr>
              <w:t>乙方在服务</w:t>
            </w:r>
            <w:r>
              <w:rPr>
                <w:rFonts w:ascii="宋体"/>
                <w:color w:val="auto"/>
                <w:szCs w:val="21"/>
              </w:rPr>
              <w:t>期内出现</w:t>
            </w:r>
            <w:r>
              <w:rPr>
                <w:rFonts w:hint="eastAsia" w:ascii="宋体"/>
                <w:color w:val="auto"/>
                <w:szCs w:val="21"/>
              </w:rPr>
              <w:t>以下重大事件及质量缺陷次数：</w:t>
            </w:r>
          </w:p>
          <w:p w14:paraId="63649A49">
            <w:pPr>
              <w:ind w:firstLine="420"/>
              <w:rPr>
                <w:rFonts w:ascii="宋体"/>
                <w:color w:val="auto"/>
                <w:szCs w:val="21"/>
              </w:rPr>
            </w:pPr>
            <w:r>
              <w:rPr>
                <w:rFonts w:hint="eastAsia" w:ascii="宋体"/>
                <w:color w:val="auto"/>
                <w:szCs w:val="21"/>
              </w:rPr>
              <w:t>a.应用软件出现I</w:t>
            </w:r>
            <w:r>
              <w:rPr>
                <w:rFonts w:ascii="宋体"/>
                <w:color w:val="auto"/>
                <w:szCs w:val="21"/>
              </w:rPr>
              <w:t>II</w:t>
            </w:r>
            <w:r>
              <w:rPr>
                <w:rFonts w:hint="eastAsia" w:ascii="宋体"/>
                <w:color w:val="auto"/>
                <w:szCs w:val="21"/>
              </w:rPr>
              <w:t>级（含）以上的运营中断事件；</w:t>
            </w:r>
          </w:p>
          <w:p w14:paraId="257FDE01">
            <w:pPr>
              <w:ind w:firstLine="420"/>
              <w:rPr>
                <w:rFonts w:ascii="宋体"/>
                <w:color w:val="auto"/>
                <w:szCs w:val="21"/>
              </w:rPr>
            </w:pPr>
            <w:r>
              <w:rPr>
                <w:rFonts w:hint="eastAsia" w:ascii="宋体"/>
                <w:color w:val="auto"/>
                <w:szCs w:val="21"/>
              </w:rPr>
              <w:t>b.因乙方原因（含乙方合作的第三方）导致甲方发生网络安全事件；</w:t>
            </w:r>
          </w:p>
          <w:p w14:paraId="35748D07">
            <w:pPr>
              <w:ind w:firstLine="420"/>
              <w:rPr>
                <w:rFonts w:ascii="宋体"/>
                <w:color w:val="auto"/>
                <w:szCs w:val="21"/>
              </w:rPr>
            </w:pPr>
            <w:r>
              <w:rPr>
                <w:rFonts w:hint="eastAsia" w:ascii="宋体"/>
                <w:color w:val="auto"/>
                <w:szCs w:val="21"/>
              </w:rPr>
              <w:t>c.应用软件出现严重缺陷和致命缺陷。</w:t>
            </w:r>
          </w:p>
        </w:tc>
        <w:tc>
          <w:tcPr>
            <w:tcW w:w="4463" w:type="dxa"/>
            <w:tcBorders>
              <w:left w:val="single" w:color="auto" w:sz="4" w:space="0"/>
            </w:tcBorders>
            <w:vAlign w:val="center"/>
          </w:tcPr>
          <w:p w14:paraId="53531604">
            <w:pPr>
              <w:ind w:firstLine="422"/>
              <w:rPr>
                <w:rFonts w:ascii="宋体"/>
                <w:b/>
                <w:bCs/>
                <w:color w:val="auto"/>
                <w:szCs w:val="21"/>
              </w:rPr>
            </w:pPr>
            <w:r>
              <w:rPr>
                <w:rFonts w:hint="eastAsia" w:ascii="宋体"/>
                <w:b/>
                <w:bCs/>
                <w:color w:val="auto"/>
                <w:szCs w:val="21"/>
              </w:rPr>
              <w:t>【得分上限10分】</w:t>
            </w:r>
          </w:p>
          <w:p w14:paraId="35807471">
            <w:pPr>
              <w:ind w:firstLine="422"/>
              <w:rPr>
                <w:rFonts w:ascii="宋体"/>
                <w:color w:val="auto"/>
                <w:szCs w:val="21"/>
              </w:rPr>
            </w:pPr>
            <w:r>
              <w:rPr>
                <w:rFonts w:hint="eastAsia" w:ascii="宋体"/>
                <w:b/>
                <w:bCs/>
                <w:color w:val="auto"/>
                <w:szCs w:val="21"/>
              </w:rPr>
              <w:t>0次：</w:t>
            </w:r>
            <w:r>
              <w:rPr>
                <w:rFonts w:hint="eastAsia" w:ascii="宋体"/>
                <w:color w:val="auto"/>
                <w:szCs w:val="21"/>
              </w:rPr>
              <w:t>指未出现</w:t>
            </w:r>
            <w:r>
              <w:rPr>
                <w:rFonts w:ascii="宋体"/>
                <w:color w:val="auto"/>
                <w:szCs w:val="21"/>
              </w:rPr>
              <w:t>重大事件</w:t>
            </w:r>
            <w:r>
              <w:rPr>
                <w:rFonts w:hint="eastAsia" w:ascii="宋体"/>
                <w:color w:val="auto"/>
                <w:szCs w:val="21"/>
              </w:rPr>
              <w:t>及质量缺陷，该项指标满分；</w:t>
            </w:r>
          </w:p>
          <w:p w14:paraId="1BFFD67D">
            <w:pPr>
              <w:ind w:firstLine="422"/>
              <w:rPr>
                <w:rFonts w:ascii="宋体"/>
                <w:color w:val="auto"/>
                <w:szCs w:val="21"/>
              </w:rPr>
            </w:pPr>
            <w:r>
              <w:rPr>
                <w:rFonts w:hint="eastAsia" w:ascii="宋体"/>
                <w:b/>
                <w:bCs/>
                <w:color w:val="auto"/>
                <w:szCs w:val="21"/>
              </w:rPr>
              <w:t>1次及以上：</w:t>
            </w:r>
            <w:r>
              <w:rPr>
                <w:rFonts w:hint="eastAsia" w:ascii="宋体"/>
                <w:color w:val="auto"/>
                <w:szCs w:val="21"/>
              </w:rPr>
              <w:t>0分，指出现1次及以上任意一项</w:t>
            </w:r>
            <w:r>
              <w:rPr>
                <w:rFonts w:ascii="宋体"/>
                <w:color w:val="auto"/>
                <w:szCs w:val="21"/>
              </w:rPr>
              <w:t>重大事件</w:t>
            </w:r>
            <w:r>
              <w:rPr>
                <w:rFonts w:hint="eastAsia" w:ascii="宋体"/>
                <w:color w:val="auto"/>
                <w:szCs w:val="21"/>
              </w:rPr>
              <w:t>或质量缺陷。</w:t>
            </w:r>
          </w:p>
        </w:tc>
        <w:tc>
          <w:tcPr>
            <w:tcW w:w="2375" w:type="dxa"/>
            <w:tcBorders>
              <w:left w:val="single" w:color="auto" w:sz="4" w:space="0"/>
            </w:tcBorders>
            <w:vAlign w:val="center"/>
          </w:tcPr>
          <w:p w14:paraId="40D43F2B">
            <w:pPr>
              <w:ind w:firstLine="420"/>
              <w:rPr>
                <w:rFonts w:ascii="宋体"/>
                <w:color w:val="auto"/>
                <w:szCs w:val="21"/>
              </w:rPr>
            </w:pPr>
            <w:r>
              <w:rPr>
                <w:rFonts w:hint="eastAsia" w:ascii="宋体"/>
                <w:color w:val="auto"/>
                <w:szCs w:val="21"/>
              </w:rPr>
              <w:t>每出现一次</w:t>
            </w:r>
            <w:r>
              <w:rPr>
                <w:rFonts w:ascii="宋体"/>
                <w:color w:val="auto"/>
                <w:szCs w:val="21"/>
              </w:rPr>
              <w:t>重大事件</w:t>
            </w:r>
            <w:r>
              <w:rPr>
                <w:rFonts w:hint="eastAsia" w:ascii="宋体"/>
                <w:color w:val="auto"/>
                <w:szCs w:val="21"/>
              </w:rPr>
              <w:t>或质量缺陷，扣除乙方合同总金额不低于5%（不低于2万元），并要求乙方赔偿实际损失。</w:t>
            </w:r>
          </w:p>
        </w:tc>
        <w:tc>
          <w:tcPr>
            <w:tcW w:w="775" w:type="dxa"/>
            <w:tcBorders>
              <w:left w:val="single" w:color="auto" w:sz="4" w:space="0"/>
            </w:tcBorders>
            <w:vAlign w:val="center"/>
          </w:tcPr>
          <w:p w14:paraId="29883295">
            <w:pPr>
              <w:ind w:firstLine="420"/>
              <w:jc w:val="left"/>
              <w:rPr>
                <w:rFonts w:ascii="宋体"/>
                <w:color w:val="auto"/>
                <w:szCs w:val="21"/>
              </w:rPr>
            </w:pPr>
          </w:p>
        </w:tc>
        <w:tc>
          <w:tcPr>
            <w:tcW w:w="745" w:type="dxa"/>
            <w:tcBorders>
              <w:left w:val="single" w:color="auto" w:sz="4" w:space="0"/>
            </w:tcBorders>
            <w:vAlign w:val="center"/>
          </w:tcPr>
          <w:p w14:paraId="69094F6D">
            <w:pPr>
              <w:ind w:firstLine="420"/>
              <w:jc w:val="left"/>
              <w:rPr>
                <w:rFonts w:ascii="宋体"/>
                <w:color w:val="auto"/>
                <w:szCs w:val="21"/>
              </w:rPr>
            </w:pPr>
          </w:p>
        </w:tc>
      </w:tr>
      <w:tr w14:paraId="089D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2C98F0F">
            <w:pPr>
              <w:pStyle w:val="54"/>
              <w:rPr>
                <w:rFonts w:hint="default"/>
                <w:color w:val="auto"/>
              </w:rPr>
            </w:pPr>
            <w:r>
              <w:rPr>
                <w:color w:val="auto"/>
              </w:rPr>
              <w:t>7</w:t>
            </w:r>
          </w:p>
        </w:tc>
        <w:tc>
          <w:tcPr>
            <w:tcW w:w="782" w:type="dxa"/>
            <w:vMerge w:val="continue"/>
            <w:tcBorders>
              <w:left w:val="single" w:color="auto" w:sz="4" w:space="0"/>
            </w:tcBorders>
          </w:tcPr>
          <w:p w14:paraId="5981FC54">
            <w:pPr>
              <w:pStyle w:val="54"/>
              <w:rPr>
                <w:rFonts w:hint="default"/>
                <w:color w:val="auto"/>
              </w:rPr>
            </w:pPr>
          </w:p>
        </w:tc>
        <w:tc>
          <w:tcPr>
            <w:tcW w:w="725" w:type="dxa"/>
            <w:tcBorders>
              <w:left w:val="single" w:color="auto" w:sz="4" w:space="0"/>
            </w:tcBorders>
            <w:vAlign w:val="center"/>
          </w:tcPr>
          <w:p w14:paraId="6ABA0019">
            <w:pPr>
              <w:pStyle w:val="54"/>
              <w:rPr>
                <w:rFonts w:hint="default"/>
                <w:color w:val="auto"/>
              </w:rPr>
            </w:pPr>
            <w:r>
              <w:rPr>
                <w:color w:val="auto"/>
              </w:rPr>
              <w:t>信息安全管理</w:t>
            </w:r>
          </w:p>
        </w:tc>
        <w:tc>
          <w:tcPr>
            <w:tcW w:w="3412" w:type="dxa"/>
            <w:tcBorders>
              <w:left w:val="single" w:color="auto" w:sz="4" w:space="0"/>
            </w:tcBorders>
            <w:vAlign w:val="center"/>
          </w:tcPr>
          <w:p w14:paraId="7CA2BA43">
            <w:pPr>
              <w:ind w:firstLine="420"/>
              <w:rPr>
                <w:rFonts w:ascii="宋体"/>
                <w:color w:val="auto"/>
                <w:szCs w:val="21"/>
              </w:rPr>
            </w:pPr>
            <w:r>
              <w:rPr>
                <w:rFonts w:hint="eastAsia" w:ascii="宋体"/>
                <w:color w:val="auto"/>
                <w:szCs w:val="21"/>
              </w:rPr>
              <w:t>用</w:t>
            </w:r>
            <w:r>
              <w:rPr>
                <w:rFonts w:ascii="宋体"/>
                <w:color w:val="auto"/>
                <w:szCs w:val="21"/>
              </w:rPr>
              <w:t>于记录</w:t>
            </w:r>
            <w:r>
              <w:rPr>
                <w:rFonts w:hint="eastAsia" w:ascii="宋体"/>
                <w:color w:val="auto"/>
                <w:szCs w:val="21"/>
              </w:rPr>
              <w:t>乙方在服务</w:t>
            </w:r>
            <w:r>
              <w:rPr>
                <w:rFonts w:ascii="宋体"/>
                <w:color w:val="auto"/>
                <w:szCs w:val="21"/>
              </w:rPr>
              <w:t>期内</w:t>
            </w:r>
            <w:r>
              <w:rPr>
                <w:rFonts w:hint="eastAsia" w:ascii="宋体"/>
                <w:color w:val="auto"/>
                <w:szCs w:val="21"/>
              </w:rPr>
              <w:t>网络和信息安全服务的管理能力，针对发现的安全漏洞及安全缺陷（包括源代码、第三方SDK或第三方小程序、第三方软件产品及开源组件等），须按甲方要求完成整改</w:t>
            </w:r>
          </w:p>
        </w:tc>
        <w:tc>
          <w:tcPr>
            <w:tcW w:w="4463" w:type="dxa"/>
            <w:tcBorders>
              <w:left w:val="single" w:color="auto" w:sz="4" w:space="0"/>
            </w:tcBorders>
            <w:vAlign w:val="center"/>
          </w:tcPr>
          <w:p w14:paraId="09D08DDC">
            <w:pPr>
              <w:ind w:firstLine="420"/>
              <w:rPr>
                <w:rFonts w:ascii="宋体"/>
                <w:color w:val="auto"/>
                <w:szCs w:val="21"/>
              </w:rPr>
            </w:pPr>
            <w:r>
              <w:rPr>
                <w:rFonts w:hint="eastAsia" w:ascii="宋体"/>
                <w:color w:val="auto"/>
                <w:szCs w:val="21"/>
              </w:rPr>
              <w:t>互联网或电子银行类系统：</w:t>
            </w:r>
          </w:p>
          <w:p w14:paraId="20DEEB98">
            <w:pPr>
              <w:ind w:firstLine="420"/>
              <w:rPr>
                <w:rFonts w:ascii="宋体"/>
                <w:color w:val="auto"/>
                <w:szCs w:val="21"/>
              </w:rPr>
            </w:pPr>
            <w:r>
              <w:rPr>
                <w:rFonts w:hint="eastAsia" w:ascii="宋体"/>
                <w:color w:val="auto"/>
                <w:szCs w:val="21"/>
              </w:rPr>
              <w:t>1.安全漏洞及安全缺陷整改及时率=100%</w:t>
            </w:r>
          </w:p>
          <w:p w14:paraId="2300E250">
            <w:pPr>
              <w:ind w:firstLine="420"/>
              <w:rPr>
                <w:rFonts w:ascii="宋体"/>
                <w:color w:val="auto"/>
                <w:szCs w:val="21"/>
              </w:rPr>
            </w:pPr>
            <w:r>
              <w:rPr>
                <w:rFonts w:hint="eastAsia" w:ascii="宋体"/>
                <w:color w:val="auto"/>
                <w:szCs w:val="21"/>
              </w:rPr>
              <w:t>2.安全漏洞及安全缺陷整改通过率=100%</w:t>
            </w:r>
          </w:p>
          <w:p w14:paraId="73F6E476">
            <w:pPr>
              <w:ind w:firstLine="420"/>
              <w:rPr>
                <w:rFonts w:ascii="宋体"/>
                <w:color w:val="auto"/>
                <w:szCs w:val="21"/>
              </w:rPr>
            </w:pPr>
            <w:r>
              <w:rPr>
                <w:rFonts w:hint="eastAsia" w:ascii="宋体"/>
                <w:color w:val="auto"/>
                <w:szCs w:val="21"/>
              </w:rPr>
              <w:t>非互联网或电子银行类系统：</w:t>
            </w:r>
          </w:p>
          <w:p w14:paraId="61A7750E">
            <w:pPr>
              <w:ind w:firstLine="420"/>
              <w:rPr>
                <w:rFonts w:ascii="宋体"/>
                <w:color w:val="auto"/>
                <w:szCs w:val="21"/>
              </w:rPr>
            </w:pPr>
            <w:r>
              <w:rPr>
                <w:rFonts w:hint="eastAsia" w:ascii="宋体"/>
                <w:color w:val="auto"/>
                <w:szCs w:val="21"/>
              </w:rPr>
              <w:t>1.中高危安全漏洞及安全缺陷整改及时率=100%</w:t>
            </w:r>
          </w:p>
          <w:p w14:paraId="70429364">
            <w:pPr>
              <w:ind w:firstLine="420"/>
              <w:rPr>
                <w:rFonts w:ascii="宋体"/>
                <w:color w:val="auto"/>
                <w:szCs w:val="21"/>
              </w:rPr>
            </w:pPr>
            <w:r>
              <w:rPr>
                <w:rFonts w:hint="eastAsia" w:ascii="宋体"/>
                <w:color w:val="auto"/>
                <w:szCs w:val="21"/>
              </w:rPr>
              <w:t>2.中高危安全漏洞及安全缺陷整改通过率=100%</w:t>
            </w:r>
          </w:p>
          <w:p w14:paraId="451D6674">
            <w:pPr>
              <w:ind w:firstLine="422"/>
              <w:rPr>
                <w:rFonts w:ascii="宋体"/>
                <w:color w:val="auto"/>
                <w:szCs w:val="21"/>
              </w:rPr>
            </w:pPr>
            <w:r>
              <w:rPr>
                <w:rFonts w:hint="eastAsia" w:ascii="宋体"/>
                <w:b/>
                <w:bCs/>
                <w:color w:val="auto"/>
                <w:szCs w:val="21"/>
              </w:rPr>
              <w:t>优秀：</w:t>
            </w:r>
            <w:r>
              <w:rPr>
                <w:rFonts w:hint="eastAsia" w:ascii="宋体"/>
                <w:color w:val="auto"/>
                <w:szCs w:val="21"/>
              </w:rPr>
              <w:t>5分，指未出现安全漏洞及安全缺陷，该项指标满分；</w:t>
            </w:r>
          </w:p>
          <w:p w14:paraId="13F04530">
            <w:pPr>
              <w:ind w:firstLine="422"/>
              <w:rPr>
                <w:rFonts w:ascii="宋体"/>
                <w:color w:val="auto"/>
                <w:szCs w:val="21"/>
              </w:rPr>
            </w:pPr>
            <w:r>
              <w:rPr>
                <w:rFonts w:hint="eastAsia" w:ascii="宋体"/>
                <w:b/>
                <w:bCs/>
                <w:color w:val="auto"/>
                <w:szCs w:val="21"/>
              </w:rPr>
              <w:t>合格：</w:t>
            </w:r>
            <w:r>
              <w:rPr>
                <w:rFonts w:hint="eastAsia" w:ascii="宋体"/>
                <w:color w:val="auto"/>
                <w:szCs w:val="21"/>
              </w:rPr>
              <w:t>3分，指出现安全漏洞或安全缺陷，但整改及时率、通过率均为100%；</w:t>
            </w:r>
          </w:p>
          <w:p w14:paraId="039AFC23">
            <w:pPr>
              <w:ind w:firstLine="422"/>
              <w:rPr>
                <w:rFonts w:ascii="宋体"/>
                <w:color w:val="auto"/>
                <w:szCs w:val="21"/>
              </w:rPr>
            </w:pPr>
            <w:r>
              <w:rPr>
                <w:rFonts w:hint="eastAsia" w:ascii="宋体"/>
                <w:b/>
                <w:bCs/>
                <w:color w:val="auto"/>
                <w:szCs w:val="21"/>
              </w:rPr>
              <w:t>较差/差：</w:t>
            </w:r>
            <w:r>
              <w:rPr>
                <w:rFonts w:hint="eastAsia" w:ascii="宋体"/>
                <w:color w:val="auto"/>
                <w:szCs w:val="21"/>
              </w:rPr>
              <w:t>0分，指出现安全漏洞及安全缺陷，但整改及时率或通过率未达到100%。</w:t>
            </w:r>
          </w:p>
        </w:tc>
        <w:tc>
          <w:tcPr>
            <w:tcW w:w="2375" w:type="dxa"/>
            <w:tcBorders>
              <w:left w:val="single" w:color="auto" w:sz="4" w:space="0"/>
            </w:tcBorders>
            <w:vAlign w:val="center"/>
          </w:tcPr>
          <w:p w14:paraId="6BC778F1">
            <w:pPr>
              <w:ind w:firstLine="420"/>
              <w:rPr>
                <w:rFonts w:ascii="宋体"/>
                <w:color w:val="auto"/>
                <w:szCs w:val="21"/>
              </w:rPr>
            </w:pPr>
            <w:r>
              <w:rPr>
                <w:rFonts w:hint="eastAsia" w:ascii="宋体"/>
                <w:color w:val="auto"/>
                <w:szCs w:val="21"/>
              </w:rPr>
              <w:t>若评价为较差/差时，扣除乙方金额人民币不低于2万元，并要求乙方赔偿实际损失。</w:t>
            </w:r>
          </w:p>
          <w:p w14:paraId="5E77B886">
            <w:pPr>
              <w:ind w:firstLine="420"/>
              <w:rPr>
                <w:rFonts w:ascii="宋体"/>
                <w:color w:val="auto"/>
                <w:szCs w:val="21"/>
              </w:rPr>
            </w:pPr>
            <w:r>
              <w:rPr>
                <w:rFonts w:hint="eastAsia" w:ascii="宋体"/>
                <w:color w:val="auto"/>
                <w:szCs w:val="21"/>
              </w:rPr>
              <w:t>若出现的安全漏洞或安全缺陷被上级或监管单位通报的，扣除乙方合同总金额不低于5%（不低于2万元），并要求乙方赔偿实际损失。</w:t>
            </w:r>
          </w:p>
        </w:tc>
        <w:tc>
          <w:tcPr>
            <w:tcW w:w="775" w:type="dxa"/>
            <w:tcBorders>
              <w:left w:val="single" w:color="auto" w:sz="4" w:space="0"/>
            </w:tcBorders>
            <w:vAlign w:val="center"/>
          </w:tcPr>
          <w:p w14:paraId="31EEDA00">
            <w:pPr>
              <w:ind w:firstLine="420"/>
              <w:jc w:val="left"/>
              <w:rPr>
                <w:rFonts w:ascii="宋体"/>
                <w:color w:val="auto"/>
                <w:szCs w:val="21"/>
              </w:rPr>
            </w:pPr>
          </w:p>
        </w:tc>
        <w:tc>
          <w:tcPr>
            <w:tcW w:w="745" w:type="dxa"/>
            <w:tcBorders>
              <w:left w:val="single" w:color="auto" w:sz="4" w:space="0"/>
            </w:tcBorders>
            <w:vAlign w:val="center"/>
          </w:tcPr>
          <w:p w14:paraId="332E0C5D">
            <w:pPr>
              <w:ind w:firstLine="420"/>
              <w:jc w:val="left"/>
              <w:rPr>
                <w:rFonts w:ascii="宋体"/>
                <w:color w:val="auto"/>
                <w:szCs w:val="21"/>
              </w:rPr>
            </w:pPr>
          </w:p>
        </w:tc>
      </w:tr>
      <w:tr w14:paraId="7DF5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00F78EC">
            <w:pPr>
              <w:pStyle w:val="54"/>
              <w:rPr>
                <w:rFonts w:hint="default"/>
                <w:color w:val="auto"/>
              </w:rPr>
            </w:pPr>
            <w:r>
              <w:rPr>
                <w:color w:val="auto"/>
              </w:rPr>
              <w:t>8</w:t>
            </w:r>
          </w:p>
        </w:tc>
        <w:tc>
          <w:tcPr>
            <w:tcW w:w="782" w:type="dxa"/>
            <w:vMerge w:val="continue"/>
            <w:tcBorders>
              <w:left w:val="single" w:color="auto" w:sz="4" w:space="0"/>
            </w:tcBorders>
          </w:tcPr>
          <w:p w14:paraId="3C9EA038">
            <w:pPr>
              <w:pStyle w:val="54"/>
              <w:rPr>
                <w:rFonts w:hint="default"/>
                <w:color w:val="auto"/>
              </w:rPr>
            </w:pPr>
          </w:p>
        </w:tc>
        <w:tc>
          <w:tcPr>
            <w:tcW w:w="725" w:type="dxa"/>
            <w:tcBorders>
              <w:left w:val="single" w:color="auto" w:sz="4" w:space="0"/>
            </w:tcBorders>
            <w:vAlign w:val="center"/>
          </w:tcPr>
          <w:p w14:paraId="2C755DCF">
            <w:pPr>
              <w:pStyle w:val="54"/>
              <w:rPr>
                <w:rFonts w:hint="default"/>
                <w:color w:val="auto"/>
              </w:rPr>
            </w:pPr>
            <w:r>
              <w:rPr>
                <w:color w:val="auto"/>
              </w:rPr>
              <w:t>外包安全行为</w:t>
            </w:r>
          </w:p>
        </w:tc>
        <w:tc>
          <w:tcPr>
            <w:tcW w:w="3412" w:type="dxa"/>
            <w:tcBorders>
              <w:left w:val="single" w:color="auto" w:sz="4" w:space="0"/>
            </w:tcBorders>
            <w:vAlign w:val="center"/>
          </w:tcPr>
          <w:p w14:paraId="2D9CA365">
            <w:pPr>
              <w:ind w:firstLine="420"/>
              <w:rPr>
                <w:rFonts w:ascii="宋体"/>
                <w:color w:val="auto"/>
                <w:szCs w:val="21"/>
              </w:rPr>
            </w:pPr>
            <w:r>
              <w:rPr>
                <w:rFonts w:hint="eastAsia" w:ascii="宋体"/>
                <w:color w:val="auto"/>
                <w:szCs w:val="21"/>
              </w:rPr>
              <w:t>用</w:t>
            </w:r>
            <w:r>
              <w:rPr>
                <w:rFonts w:ascii="宋体"/>
                <w:color w:val="auto"/>
                <w:szCs w:val="21"/>
              </w:rPr>
              <w:t>于记录在外包人员安全防护意识方面的管理有效</w:t>
            </w:r>
            <w:r>
              <w:rPr>
                <w:rFonts w:hint="eastAsia" w:ascii="宋体"/>
                <w:color w:val="auto"/>
                <w:szCs w:val="21"/>
              </w:rPr>
              <w:t>性</w:t>
            </w:r>
          </w:p>
        </w:tc>
        <w:tc>
          <w:tcPr>
            <w:tcW w:w="4463" w:type="dxa"/>
            <w:tcBorders>
              <w:left w:val="single" w:color="auto" w:sz="4" w:space="0"/>
            </w:tcBorders>
            <w:vAlign w:val="center"/>
          </w:tcPr>
          <w:p w14:paraId="6D352152">
            <w:pPr>
              <w:ind w:firstLine="420"/>
              <w:rPr>
                <w:rFonts w:ascii="宋体"/>
                <w:color w:val="auto"/>
                <w:szCs w:val="21"/>
              </w:rPr>
            </w:pPr>
            <w:r>
              <w:rPr>
                <w:rFonts w:ascii="宋体"/>
                <w:color w:val="auto"/>
                <w:szCs w:val="21"/>
              </w:rPr>
              <w:t>统计周期内安全防护失效的次数。</w:t>
            </w:r>
          </w:p>
          <w:p w14:paraId="2A4C3982">
            <w:pPr>
              <w:ind w:firstLine="420"/>
              <w:rPr>
                <w:rFonts w:ascii="宋体"/>
                <w:color w:val="auto"/>
                <w:szCs w:val="21"/>
              </w:rPr>
            </w:pPr>
            <w:r>
              <w:rPr>
                <w:rFonts w:hint="eastAsia" w:ascii="宋体"/>
                <w:color w:val="auto"/>
                <w:szCs w:val="21"/>
              </w:rPr>
              <w:t>（</w:t>
            </w:r>
            <w:r>
              <w:rPr>
                <w:rFonts w:ascii="宋体"/>
                <w:color w:val="auto"/>
                <w:szCs w:val="21"/>
              </w:rPr>
              <w:t>注：在服务期间出现以下行为，即为安全防护失效：a）代码泄漏、敏感数据泄漏、被钓鱼攻击、共享数据使用弱口令、账户借用。b）在互联网上泄露客户代码和敏感数据。</w:t>
            </w:r>
            <w:r>
              <w:rPr>
                <w:rFonts w:hint="eastAsia" w:ascii="宋体"/>
                <w:color w:val="auto"/>
                <w:szCs w:val="21"/>
              </w:rPr>
              <w:t>c）</w:t>
            </w:r>
            <w:r>
              <w:rPr>
                <w:rFonts w:ascii="宋体"/>
                <w:color w:val="auto"/>
                <w:szCs w:val="21"/>
              </w:rPr>
              <w:t>随意搭建测试环境导致信息泄露或被作为攻击入口</w:t>
            </w:r>
            <w:r>
              <w:rPr>
                <w:rFonts w:hint="eastAsia" w:ascii="宋体"/>
                <w:color w:val="auto"/>
                <w:szCs w:val="21"/>
              </w:rPr>
              <w:t>。d）在生产运营系统上违反规定进行操作或在实施过程中留下信息系统后门等</w:t>
            </w:r>
            <w:r>
              <w:rPr>
                <w:rFonts w:ascii="宋体"/>
                <w:color w:val="auto"/>
                <w:szCs w:val="21"/>
              </w:rPr>
              <w:t>。</w:t>
            </w:r>
          </w:p>
          <w:p w14:paraId="4946E74C">
            <w:pPr>
              <w:ind w:firstLine="422"/>
              <w:rPr>
                <w:rFonts w:ascii="宋体"/>
                <w:b/>
                <w:bCs/>
                <w:color w:val="auto"/>
                <w:szCs w:val="21"/>
              </w:rPr>
            </w:pPr>
            <w:r>
              <w:rPr>
                <w:rFonts w:hint="eastAsia" w:ascii="宋体"/>
                <w:b/>
                <w:bCs/>
                <w:color w:val="auto"/>
                <w:szCs w:val="21"/>
              </w:rPr>
              <w:t>【得分上限10分】</w:t>
            </w:r>
          </w:p>
          <w:p w14:paraId="40243BDB">
            <w:pPr>
              <w:ind w:firstLine="422"/>
              <w:rPr>
                <w:rFonts w:ascii="宋体"/>
                <w:color w:val="auto"/>
                <w:szCs w:val="21"/>
              </w:rPr>
            </w:pPr>
            <w:r>
              <w:rPr>
                <w:rFonts w:hint="eastAsia" w:ascii="宋体"/>
                <w:b/>
                <w:bCs/>
                <w:color w:val="auto"/>
                <w:szCs w:val="21"/>
              </w:rPr>
              <w:t>0次：</w:t>
            </w:r>
            <w:r>
              <w:rPr>
                <w:rFonts w:hint="eastAsia" w:ascii="宋体"/>
                <w:color w:val="auto"/>
                <w:szCs w:val="21"/>
              </w:rPr>
              <w:t>未出现安全防护失效行为，10分；</w:t>
            </w:r>
          </w:p>
          <w:p w14:paraId="491913F4">
            <w:pPr>
              <w:ind w:firstLine="422"/>
              <w:rPr>
                <w:rFonts w:ascii="宋体"/>
                <w:color w:val="auto"/>
                <w:szCs w:val="21"/>
              </w:rPr>
            </w:pPr>
            <w:r>
              <w:rPr>
                <w:rFonts w:hint="eastAsia" w:ascii="宋体"/>
                <w:b/>
                <w:bCs/>
                <w:color w:val="auto"/>
                <w:szCs w:val="21"/>
              </w:rPr>
              <w:t>1次及以上</w:t>
            </w:r>
            <w:r>
              <w:rPr>
                <w:rFonts w:hint="eastAsia" w:ascii="宋体"/>
                <w:color w:val="auto"/>
                <w:szCs w:val="21"/>
              </w:rPr>
              <w:t>：出现安全防护失效行为，每出现一次扣5分，最多扣10分。</w:t>
            </w:r>
          </w:p>
        </w:tc>
        <w:tc>
          <w:tcPr>
            <w:tcW w:w="2375" w:type="dxa"/>
            <w:tcBorders>
              <w:left w:val="single" w:color="auto" w:sz="4" w:space="0"/>
            </w:tcBorders>
            <w:vAlign w:val="center"/>
          </w:tcPr>
          <w:p w14:paraId="621F57D9">
            <w:pPr>
              <w:ind w:firstLine="420"/>
              <w:rPr>
                <w:rFonts w:ascii="宋体"/>
                <w:color w:val="auto"/>
                <w:szCs w:val="21"/>
              </w:rPr>
            </w:pPr>
            <w:r>
              <w:rPr>
                <w:rFonts w:hint="eastAsia" w:ascii="宋体"/>
                <w:color w:val="auto"/>
                <w:szCs w:val="21"/>
              </w:rPr>
              <w:t>若出现信息安全防护失效行为未导致严重后果的，扣除乙方金额人民币不低于1万元；</w:t>
            </w:r>
          </w:p>
          <w:p w14:paraId="677A025C">
            <w:pPr>
              <w:ind w:firstLine="420"/>
              <w:rPr>
                <w:rFonts w:ascii="宋体"/>
                <w:color w:val="auto"/>
                <w:szCs w:val="21"/>
              </w:rPr>
            </w:pPr>
            <w:r>
              <w:rPr>
                <w:rFonts w:hint="eastAsia" w:ascii="宋体"/>
                <w:color w:val="auto"/>
                <w:szCs w:val="21"/>
              </w:rPr>
              <w:t>若出现信息安全防护失效行为导致严重后果，或被上级或监管单位通报的，扣除乙方合同总金额不低于5%（不低于2万元），并要求乙方赔偿实际损失。</w:t>
            </w:r>
          </w:p>
        </w:tc>
        <w:tc>
          <w:tcPr>
            <w:tcW w:w="775" w:type="dxa"/>
            <w:tcBorders>
              <w:left w:val="single" w:color="auto" w:sz="4" w:space="0"/>
            </w:tcBorders>
            <w:vAlign w:val="center"/>
          </w:tcPr>
          <w:p w14:paraId="4EB97E27">
            <w:pPr>
              <w:ind w:firstLine="420"/>
              <w:jc w:val="left"/>
              <w:rPr>
                <w:rFonts w:ascii="宋体"/>
                <w:color w:val="auto"/>
                <w:szCs w:val="21"/>
              </w:rPr>
            </w:pPr>
          </w:p>
        </w:tc>
        <w:tc>
          <w:tcPr>
            <w:tcW w:w="745" w:type="dxa"/>
            <w:tcBorders>
              <w:left w:val="single" w:color="auto" w:sz="4" w:space="0"/>
            </w:tcBorders>
            <w:vAlign w:val="center"/>
          </w:tcPr>
          <w:p w14:paraId="3D298C3D">
            <w:pPr>
              <w:ind w:firstLine="420"/>
              <w:jc w:val="left"/>
              <w:rPr>
                <w:rFonts w:ascii="宋体"/>
                <w:color w:val="auto"/>
                <w:szCs w:val="21"/>
              </w:rPr>
            </w:pPr>
          </w:p>
        </w:tc>
      </w:tr>
      <w:tr w14:paraId="5464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ABEEEEC">
            <w:pPr>
              <w:pStyle w:val="54"/>
              <w:rPr>
                <w:rFonts w:hint="default"/>
                <w:color w:val="auto"/>
              </w:rPr>
            </w:pPr>
            <w:r>
              <w:rPr>
                <w:color w:val="auto"/>
              </w:rPr>
              <w:t>9</w:t>
            </w:r>
          </w:p>
        </w:tc>
        <w:tc>
          <w:tcPr>
            <w:tcW w:w="782" w:type="dxa"/>
            <w:vMerge w:val="continue"/>
            <w:tcBorders>
              <w:left w:val="single" w:color="auto" w:sz="4" w:space="0"/>
            </w:tcBorders>
          </w:tcPr>
          <w:p w14:paraId="69E0BA75">
            <w:pPr>
              <w:pStyle w:val="54"/>
              <w:rPr>
                <w:rFonts w:hint="default"/>
                <w:color w:val="auto"/>
              </w:rPr>
            </w:pPr>
          </w:p>
        </w:tc>
        <w:tc>
          <w:tcPr>
            <w:tcW w:w="725" w:type="dxa"/>
            <w:tcBorders>
              <w:left w:val="single" w:color="auto" w:sz="4" w:space="0"/>
            </w:tcBorders>
            <w:vAlign w:val="center"/>
          </w:tcPr>
          <w:p w14:paraId="6D5E1BD4">
            <w:pPr>
              <w:pStyle w:val="54"/>
              <w:rPr>
                <w:rFonts w:hint="default"/>
                <w:color w:val="auto"/>
              </w:rPr>
            </w:pPr>
            <w:r>
              <w:rPr>
                <w:color w:val="auto"/>
              </w:rPr>
              <w:t>响应与解决及时性</w:t>
            </w:r>
          </w:p>
        </w:tc>
        <w:tc>
          <w:tcPr>
            <w:tcW w:w="3412" w:type="dxa"/>
            <w:tcBorders>
              <w:left w:val="single" w:color="auto" w:sz="4" w:space="0"/>
            </w:tcBorders>
            <w:vAlign w:val="center"/>
          </w:tcPr>
          <w:p w14:paraId="4E5E817C">
            <w:pPr>
              <w:ind w:firstLine="420"/>
              <w:rPr>
                <w:rFonts w:ascii="宋体"/>
                <w:color w:val="auto"/>
                <w:szCs w:val="21"/>
              </w:rPr>
            </w:pPr>
            <w:r>
              <w:rPr>
                <w:rFonts w:ascii="宋体"/>
                <w:color w:val="auto"/>
                <w:szCs w:val="21"/>
              </w:rPr>
              <w:t>用于记录</w:t>
            </w:r>
            <w:r>
              <w:rPr>
                <w:rFonts w:hint="eastAsia" w:ascii="宋体"/>
                <w:color w:val="auto"/>
                <w:szCs w:val="21"/>
              </w:rPr>
              <w:t>乙方</w:t>
            </w:r>
            <w:r>
              <w:rPr>
                <w:rFonts w:ascii="宋体"/>
                <w:color w:val="auto"/>
                <w:szCs w:val="21"/>
              </w:rPr>
              <w:t>或服务项目对</w:t>
            </w:r>
            <w:r>
              <w:rPr>
                <w:rFonts w:hint="eastAsia" w:ascii="宋体"/>
                <w:color w:val="auto"/>
                <w:szCs w:val="21"/>
              </w:rPr>
              <w:t>甲方</w:t>
            </w:r>
            <w:r>
              <w:rPr>
                <w:rFonts w:ascii="宋体"/>
                <w:color w:val="auto"/>
                <w:szCs w:val="21"/>
              </w:rPr>
              <w:t>的响应与解决的及时性</w:t>
            </w:r>
          </w:p>
        </w:tc>
        <w:tc>
          <w:tcPr>
            <w:tcW w:w="4463" w:type="dxa"/>
            <w:tcBorders>
              <w:left w:val="single" w:color="auto" w:sz="4" w:space="0"/>
            </w:tcBorders>
            <w:vAlign w:val="center"/>
          </w:tcPr>
          <w:p w14:paraId="1A9A5A6D">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乙方</w:t>
            </w:r>
            <w:r>
              <w:rPr>
                <w:rFonts w:ascii="宋体"/>
                <w:color w:val="auto"/>
                <w:szCs w:val="21"/>
              </w:rPr>
              <w:t>或服务项目能够迅速响应需求，主动快速与</w:t>
            </w:r>
            <w:r>
              <w:rPr>
                <w:rFonts w:hint="eastAsia" w:ascii="宋体"/>
                <w:color w:val="auto"/>
                <w:szCs w:val="21"/>
              </w:rPr>
              <w:t>甲方</w:t>
            </w:r>
            <w:r>
              <w:rPr>
                <w:rFonts w:ascii="宋体"/>
                <w:color w:val="auto"/>
                <w:szCs w:val="21"/>
              </w:rPr>
              <w:t>进行有效的沟通，第一时间从专业角度给出解决方案并解决问题</w:t>
            </w:r>
            <w:r>
              <w:rPr>
                <w:rFonts w:hint="eastAsia" w:ascii="宋体"/>
                <w:color w:val="auto"/>
                <w:szCs w:val="21"/>
              </w:rPr>
              <w:t>；</w:t>
            </w:r>
          </w:p>
          <w:p w14:paraId="2E8BBC0D">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乙方</w:t>
            </w:r>
            <w:r>
              <w:rPr>
                <w:rFonts w:ascii="宋体"/>
                <w:color w:val="auto"/>
                <w:szCs w:val="21"/>
              </w:rPr>
              <w:t>或服务项目能够按要求响应需求，及时与</w:t>
            </w:r>
            <w:r>
              <w:rPr>
                <w:rFonts w:hint="eastAsia" w:ascii="宋体"/>
                <w:color w:val="auto"/>
                <w:szCs w:val="21"/>
              </w:rPr>
              <w:t>甲方</w:t>
            </w:r>
            <w:r>
              <w:rPr>
                <w:rFonts w:ascii="宋体"/>
                <w:color w:val="auto"/>
                <w:szCs w:val="21"/>
              </w:rPr>
              <w:t>进行有效的沟通，快速给出处理方案并解决问题</w:t>
            </w:r>
            <w:r>
              <w:rPr>
                <w:rFonts w:hint="eastAsia" w:ascii="宋体"/>
                <w:color w:val="auto"/>
                <w:szCs w:val="21"/>
              </w:rPr>
              <w:t>；</w:t>
            </w:r>
          </w:p>
          <w:p w14:paraId="41B9F7E5">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乙方</w:t>
            </w:r>
            <w:r>
              <w:rPr>
                <w:rFonts w:ascii="宋体"/>
                <w:color w:val="auto"/>
                <w:szCs w:val="21"/>
              </w:rPr>
              <w:t>或服务项目能够基本按要求响应需求</w:t>
            </w:r>
            <w:r>
              <w:rPr>
                <w:rFonts w:hint="eastAsia" w:ascii="宋体"/>
                <w:color w:val="auto"/>
                <w:szCs w:val="21"/>
              </w:rPr>
              <w:t>，</w:t>
            </w:r>
            <w:r>
              <w:rPr>
                <w:rFonts w:ascii="宋体"/>
                <w:color w:val="auto"/>
                <w:szCs w:val="21"/>
              </w:rPr>
              <w:t>保持与</w:t>
            </w:r>
            <w:r>
              <w:rPr>
                <w:rFonts w:hint="eastAsia" w:ascii="宋体"/>
                <w:color w:val="auto"/>
                <w:szCs w:val="21"/>
              </w:rPr>
              <w:t>甲方</w:t>
            </w:r>
            <w:r>
              <w:rPr>
                <w:rFonts w:ascii="宋体"/>
                <w:color w:val="auto"/>
                <w:szCs w:val="21"/>
              </w:rPr>
              <w:t>的沟通，按时解决问题</w:t>
            </w:r>
            <w:r>
              <w:rPr>
                <w:rFonts w:hint="eastAsia" w:ascii="宋体"/>
                <w:color w:val="auto"/>
                <w:szCs w:val="21"/>
              </w:rPr>
              <w:t>；</w:t>
            </w:r>
          </w:p>
          <w:p w14:paraId="1667D660">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乙方</w:t>
            </w:r>
            <w:r>
              <w:rPr>
                <w:rFonts w:ascii="宋体"/>
                <w:color w:val="auto"/>
                <w:szCs w:val="21"/>
              </w:rPr>
              <w:t>或服务项目未及时响应需求，或响应需求后无法</w:t>
            </w:r>
            <w:r>
              <w:rPr>
                <w:rFonts w:hint="eastAsia" w:ascii="宋体"/>
                <w:color w:val="auto"/>
                <w:szCs w:val="21"/>
              </w:rPr>
              <w:t>及时</w:t>
            </w:r>
            <w:r>
              <w:rPr>
                <w:rFonts w:ascii="宋体"/>
                <w:color w:val="auto"/>
                <w:szCs w:val="21"/>
              </w:rPr>
              <w:t>解决问题</w:t>
            </w:r>
            <w:r>
              <w:rPr>
                <w:rFonts w:hint="eastAsia" w:ascii="宋体"/>
                <w:color w:val="auto"/>
                <w:szCs w:val="21"/>
              </w:rPr>
              <w:t>。</w:t>
            </w:r>
          </w:p>
        </w:tc>
        <w:tc>
          <w:tcPr>
            <w:tcW w:w="2375" w:type="dxa"/>
            <w:tcBorders>
              <w:left w:val="single" w:color="auto" w:sz="4" w:space="0"/>
            </w:tcBorders>
            <w:vAlign w:val="center"/>
          </w:tcPr>
          <w:p w14:paraId="2897CD9C">
            <w:pPr>
              <w:ind w:firstLine="420"/>
              <w:rPr>
                <w:rFonts w:ascii="宋体"/>
                <w:color w:val="auto"/>
                <w:szCs w:val="21"/>
              </w:rPr>
            </w:pPr>
            <w:r>
              <w:rPr>
                <w:rFonts w:hint="eastAsia" w:ascii="宋体"/>
                <w:color w:val="auto"/>
                <w:szCs w:val="21"/>
              </w:rPr>
              <w:t>评价为较差/差，即乙方</w:t>
            </w:r>
            <w:r>
              <w:rPr>
                <w:rFonts w:ascii="宋体"/>
                <w:color w:val="auto"/>
                <w:szCs w:val="21"/>
              </w:rPr>
              <w:t>或服务项目未及时响应需求，或响应需求后无法</w:t>
            </w:r>
            <w:r>
              <w:rPr>
                <w:rFonts w:hint="eastAsia" w:ascii="宋体"/>
                <w:color w:val="auto"/>
                <w:szCs w:val="21"/>
              </w:rPr>
              <w:t>及时</w:t>
            </w:r>
            <w:r>
              <w:rPr>
                <w:rFonts w:ascii="宋体"/>
                <w:color w:val="auto"/>
                <w:szCs w:val="21"/>
              </w:rPr>
              <w:t>解决问题</w:t>
            </w:r>
            <w:r>
              <w:rPr>
                <w:rFonts w:hint="eastAsia" w:ascii="宋体"/>
                <w:color w:val="auto"/>
                <w:szCs w:val="21"/>
              </w:rPr>
              <w:t>，扣除乙方金额人民币不低于1000元。</w:t>
            </w:r>
          </w:p>
        </w:tc>
        <w:tc>
          <w:tcPr>
            <w:tcW w:w="775" w:type="dxa"/>
            <w:tcBorders>
              <w:left w:val="single" w:color="auto" w:sz="4" w:space="0"/>
            </w:tcBorders>
            <w:vAlign w:val="center"/>
          </w:tcPr>
          <w:p w14:paraId="62B79E01">
            <w:pPr>
              <w:ind w:firstLine="420"/>
              <w:jc w:val="left"/>
              <w:rPr>
                <w:rFonts w:ascii="宋体"/>
                <w:color w:val="auto"/>
                <w:szCs w:val="21"/>
              </w:rPr>
            </w:pPr>
          </w:p>
        </w:tc>
        <w:tc>
          <w:tcPr>
            <w:tcW w:w="745" w:type="dxa"/>
            <w:tcBorders>
              <w:left w:val="single" w:color="auto" w:sz="4" w:space="0"/>
            </w:tcBorders>
            <w:vAlign w:val="center"/>
          </w:tcPr>
          <w:p w14:paraId="39357F61">
            <w:pPr>
              <w:ind w:firstLine="420"/>
              <w:jc w:val="left"/>
              <w:rPr>
                <w:rFonts w:ascii="宋体"/>
                <w:color w:val="auto"/>
                <w:szCs w:val="21"/>
              </w:rPr>
            </w:pPr>
          </w:p>
        </w:tc>
      </w:tr>
      <w:tr w14:paraId="1889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E6D2AF7">
            <w:pPr>
              <w:pStyle w:val="54"/>
              <w:rPr>
                <w:rFonts w:hint="default"/>
                <w:color w:val="auto"/>
              </w:rPr>
            </w:pPr>
            <w:r>
              <w:rPr>
                <w:color w:val="auto"/>
              </w:rPr>
              <w:t>10</w:t>
            </w:r>
          </w:p>
        </w:tc>
        <w:tc>
          <w:tcPr>
            <w:tcW w:w="782" w:type="dxa"/>
            <w:vMerge w:val="continue"/>
            <w:tcBorders>
              <w:left w:val="single" w:color="auto" w:sz="4" w:space="0"/>
            </w:tcBorders>
          </w:tcPr>
          <w:p w14:paraId="2D161EBF">
            <w:pPr>
              <w:pStyle w:val="54"/>
              <w:rPr>
                <w:rFonts w:hint="default"/>
                <w:color w:val="auto"/>
              </w:rPr>
            </w:pPr>
          </w:p>
        </w:tc>
        <w:tc>
          <w:tcPr>
            <w:tcW w:w="725" w:type="dxa"/>
            <w:tcBorders>
              <w:left w:val="single" w:color="auto" w:sz="4" w:space="0"/>
            </w:tcBorders>
            <w:vAlign w:val="center"/>
          </w:tcPr>
          <w:p w14:paraId="44A65722">
            <w:pPr>
              <w:pStyle w:val="54"/>
              <w:rPr>
                <w:rFonts w:hint="default"/>
                <w:color w:val="auto"/>
              </w:rPr>
            </w:pPr>
            <w:r>
              <w:rPr>
                <w:color w:val="auto"/>
              </w:rPr>
              <w:t>需求排期率</w:t>
            </w:r>
          </w:p>
        </w:tc>
        <w:tc>
          <w:tcPr>
            <w:tcW w:w="3412" w:type="dxa"/>
            <w:tcBorders>
              <w:left w:val="single" w:color="auto" w:sz="4" w:space="0"/>
            </w:tcBorders>
            <w:vAlign w:val="center"/>
          </w:tcPr>
          <w:p w14:paraId="3C6993B6">
            <w:pPr>
              <w:ind w:firstLine="420"/>
              <w:rPr>
                <w:rFonts w:ascii="宋体"/>
                <w:color w:val="auto"/>
                <w:szCs w:val="21"/>
              </w:rPr>
            </w:pPr>
            <w:r>
              <w:rPr>
                <w:rFonts w:ascii="宋体"/>
                <w:color w:val="auto"/>
                <w:szCs w:val="21"/>
              </w:rPr>
              <w:t>用于记录统计周期内对</w:t>
            </w:r>
            <w:r>
              <w:rPr>
                <w:rFonts w:hint="eastAsia" w:ascii="宋体"/>
                <w:color w:val="auto"/>
                <w:szCs w:val="21"/>
              </w:rPr>
              <w:t>甲方</w:t>
            </w:r>
            <w:r>
              <w:rPr>
                <w:rFonts w:ascii="宋体"/>
                <w:color w:val="auto"/>
                <w:szCs w:val="21"/>
              </w:rPr>
              <w:t>需求进行投产计划安排的比例</w:t>
            </w:r>
          </w:p>
        </w:tc>
        <w:tc>
          <w:tcPr>
            <w:tcW w:w="4463" w:type="dxa"/>
            <w:tcBorders>
              <w:left w:val="single" w:color="auto" w:sz="4" w:space="0"/>
            </w:tcBorders>
            <w:vAlign w:val="center"/>
          </w:tcPr>
          <w:p w14:paraId="39547739">
            <w:pPr>
              <w:ind w:firstLine="420"/>
              <w:rPr>
                <w:rFonts w:ascii="宋体"/>
                <w:color w:val="auto"/>
                <w:szCs w:val="21"/>
              </w:rPr>
            </w:pPr>
            <w:r>
              <w:rPr>
                <w:rFonts w:ascii="宋体"/>
                <w:color w:val="auto"/>
                <w:szCs w:val="21"/>
              </w:rPr>
              <w:t>需求排期率=已排期需求数/总需求数</w:t>
            </w:r>
          </w:p>
          <w:p w14:paraId="786E91D5">
            <w:pPr>
              <w:ind w:firstLine="420"/>
              <w:rPr>
                <w:rFonts w:ascii="宋体"/>
                <w:color w:val="auto"/>
                <w:szCs w:val="21"/>
              </w:rPr>
            </w:pPr>
            <w:r>
              <w:rPr>
                <w:rFonts w:ascii="宋体"/>
                <w:color w:val="auto"/>
                <w:szCs w:val="21"/>
              </w:rPr>
              <w:t>注：已排期需求数指统计周期内已经纳入投产计划的需求个数。总需求数指统计周期内由</w:t>
            </w:r>
            <w:r>
              <w:rPr>
                <w:rFonts w:hint="eastAsia" w:ascii="宋体"/>
                <w:color w:val="auto"/>
                <w:szCs w:val="21"/>
              </w:rPr>
              <w:t>甲方</w:t>
            </w:r>
            <w:r>
              <w:rPr>
                <w:rFonts w:ascii="宋体"/>
                <w:color w:val="auto"/>
                <w:szCs w:val="21"/>
              </w:rPr>
              <w:t>提出到达服务商项目组的需求数。</w:t>
            </w:r>
          </w:p>
          <w:p w14:paraId="44DD8733">
            <w:pPr>
              <w:ind w:firstLine="422"/>
              <w:rPr>
                <w:rFonts w:ascii="宋体"/>
                <w:b/>
                <w:color w:val="auto"/>
                <w:szCs w:val="21"/>
              </w:rPr>
            </w:pPr>
            <w:r>
              <w:rPr>
                <w:rFonts w:hint="eastAsia" w:ascii="宋体"/>
                <w:b/>
                <w:color w:val="auto"/>
                <w:szCs w:val="21"/>
              </w:rPr>
              <w:t>5分【98%-100%】</w:t>
            </w:r>
          </w:p>
          <w:p w14:paraId="01987BE2">
            <w:pPr>
              <w:ind w:firstLine="422"/>
              <w:rPr>
                <w:rFonts w:ascii="宋体"/>
                <w:b/>
                <w:color w:val="auto"/>
                <w:szCs w:val="21"/>
              </w:rPr>
            </w:pPr>
            <w:r>
              <w:rPr>
                <w:rFonts w:hint="eastAsia" w:ascii="宋体"/>
                <w:b/>
                <w:color w:val="auto"/>
                <w:szCs w:val="21"/>
              </w:rPr>
              <w:t>3分【95%-97%】</w:t>
            </w:r>
          </w:p>
          <w:p w14:paraId="51D54419">
            <w:pPr>
              <w:ind w:firstLine="422"/>
              <w:rPr>
                <w:rFonts w:ascii="宋体"/>
                <w:b/>
                <w:bCs/>
                <w:color w:val="auto"/>
                <w:szCs w:val="21"/>
              </w:rPr>
            </w:pPr>
            <w:r>
              <w:rPr>
                <w:rFonts w:hint="eastAsia" w:ascii="宋体"/>
                <w:b/>
                <w:color w:val="auto"/>
                <w:szCs w:val="21"/>
              </w:rPr>
              <w:t>0分【低于95%】</w:t>
            </w:r>
          </w:p>
        </w:tc>
        <w:tc>
          <w:tcPr>
            <w:tcW w:w="2375" w:type="dxa"/>
            <w:tcBorders>
              <w:left w:val="single" w:color="auto" w:sz="4" w:space="0"/>
            </w:tcBorders>
            <w:vAlign w:val="center"/>
          </w:tcPr>
          <w:p w14:paraId="7DA2595B">
            <w:pPr>
              <w:ind w:firstLine="420"/>
              <w:rPr>
                <w:rFonts w:ascii="宋体"/>
                <w:color w:val="auto"/>
                <w:szCs w:val="21"/>
              </w:rPr>
            </w:pPr>
          </w:p>
        </w:tc>
        <w:tc>
          <w:tcPr>
            <w:tcW w:w="775" w:type="dxa"/>
            <w:tcBorders>
              <w:left w:val="single" w:color="auto" w:sz="4" w:space="0"/>
            </w:tcBorders>
            <w:vAlign w:val="center"/>
          </w:tcPr>
          <w:p w14:paraId="584B0167">
            <w:pPr>
              <w:ind w:firstLine="420"/>
              <w:jc w:val="left"/>
              <w:rPr>
                <w:rFonts w:ascii="宋体"/>
                <w:color w:val="auto"/>
                <w:szCs w:val="21"/>
              </w:rPr>
            </w:pPr>
          </w:p>
        </w:tc>
        <w:tc>
          <w:tcPr>
            <w:tcW w:w="745" w:type="dxa"/>
            <w:tcBorders>
              <w:left w:val="single" w:color="auto" w:sz="4" w:space="0"/>
            </w:tcBorders>
            <w:vAlign w:val="center"/>
          </w:tcPr>
          <w:p w14:paraId="5081A44F">
            <w:pPr>
              <w:ind w:firstLine="420"/>
              <w:jc w:val="left"/>
              <w:rPr>
                <w:rFonts w:ascii="宋体"/>
                <w:color w:val="auto"/>
                <w:szCs w:val="21"/>
              </w:rPr>
            </w:pPr>
          </w:p>
        </w:tc>
      </w:tr>
      <w:tr w14:paraId="2F9C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65760F89">
            <w:pPr>
              <w:pStyle w:val="54"/>
              <w:rPr>
                <w:rFonts w:hint="default"/>
                <w:color w:val="auto"/>
              </w:rPr>
            </w:pPr>
            <w:r>
              <w:rPr>
                <w:color w:val="auto"/>
              </w:rPr>
              <w:t>11</w:t>
            </w:r>
          </w:p>
        </w:tc>
        <w:tc>
          <w:tcPr>
            <w:tcW w:w="782" w:type="dxa"/>
            <w:vMerge w:val="continue"/>
            <w:tcBorders>
              <w:left w:val="single" w:color="auto" w:sz="4" w:space="0"/>
            </w:tcBorders>
          </w:tcPr>
          <w:p w14:paraId="7D3EE59D">
            <w:pPr>
              <w:pStyle w:val="54"/>
              <w:rPr>
                <w:rFonts w:hint="default"/>
                <w:color w:val="auto"/>
              </w:rPr>
            </w:pPr>
          </w:p>
        </w:tc>
        <w:tc>
          <w:tcPr>
            <w:tcW w:w="725" w:type="dxa"/>
            <w:tcBorders>
              <w:left w:val="single" w:color="auto" w:sz="4" w:space="0"/>
            </w:tcBorders>
            <w:vAlign w:val="center"/>
          </w:tcPr>
          <w:p w14:paraId="70FBB8FC">
            <w:pPr>
              <w:pStyle w:val="54"/>
              <w:rPr>
                <w:rFonts w:hint="default"/>
                <w:color w:val="auto"/>
              </w:rPr>
            </w:pPr>
            <w:r>
              <w:rPr>
                <w:color w:val="auto"/>
              </w:rPr>
              <w:t>需求完成率</w:t>
            </w:r>
          </w:p>
        </w:tc>
        <w:tc>
          <w:tcPr>
            <w:tcW w:w="3412" w:type="dxa"/>
            <w:tcBorders>
              <w:left w:val="single" w:color="auto" w:sz="4" w:space="0"/>
            </w:tcBorders>
            <w:vAlign w:val="center"/>
          </w:tcPr>
          <w:p w14:paraId="03F48C9E">
            <w:pPr>
              <w:ind w:firstLine="420"/>
              <w:rPr>
                <w:rFonts w:ascii="宋体"/>
                <w:color w:val="auto"/>
                <w:szCs w:val="21"/>
              </w:rPr>
            </w:pPr>
            <w:r>
              <w:rPr>
                <w:rFonts w:ascii="宋体"/>
                <w:color w:val="auto"/>
                <w:szCs w:val="21"/>
              </w:rPr>
              <w:t>用于记录统计周期内</w:t>
            </w:r>
            <w:r>
              <w:rPr>
                <w:rFonts w:hint="eastAsia" w:ascii="宋体"/>
                <w:color w:val="auto"/>
                <w:szCs w:val="21"/>
              </w:rPr>
              <w:t>甲方</w:t>
            </w:r>
            <w:r>
              <w:rPr>
                <w:rFonts w:ascii="宋体"/>
                <w:color w:val="auto"/>
                <w:szCs w:val="21"/>
              </w:rPr>
              <w:t>需求完成投产的比例</w:t>
            </w:r>
          </w:p>
        </w:tc>
        <w:tc>
          <w:tcPr>
            <w:tcW w:w="4463" w:type="dxa"/>
            <w:tcBorders>
              <w:left w:val="single" w:color="auto" w:sz="4" w:space="0"/>
            </w:tcBorders>
            <w:vAlign w:val="center"/>
          </w:tcPr>
          <w:p w14:paraId="57C3409F">
            <w:pPr>
              <w:ind w:firstLine="420"/>
              <w:rPr>
                <w:rFonts w:ascii="宋体"/>
                <w:color w:val="auto"/>
                <w:szCs w:val="21"/>
              </w:rPr>
            </w:pPr>
            <w:r>
              <w:rPr>
                <w:rFonts w:hint="eastAsia" w:ascii="宋体"/>
                <w:color w:val="auto"/>
                <w:szCs w:val="21"/>
              </w:rPr>
              <w:t>需</w:t>
            </w:r>
            <w:r>
              <w:rPr>
                <w:rFonts w:ascii="宋体"/>
                <w:color w:val="auto"/>
                <w:szCs w:val="21"/>
              </w:rPr>
              <w:t>求完成率=流程完结需求数/总需求数</w:t>
            </w:r>
          </w:p>
          <w:p w14:paraId="7892E894">
            <w:pPr>
              <w:ind w:firstLine="420"/>
              <w:rPr>
                <w:rFonts w:ascii="宋体"/>
                <w:color w:val="auto"/>
                <w:szCs w:val="21"/>
              </w:rPr>
            </w:pPr>
            <w:r>
              <w:rPr>
                <w:rFonts w:ascii="宋体"/>
                <w:color w:val="auto"/>
                <w:szCs w:val="21"/>
              </w:rPr>
              <w:t>注：流程完结需求数指统计周期内已完成投产的需求个数</w:t>
            </w:r>
            <w:r>
              <w:rPr>
                <w:rFonts w:hint="eastAsia" w:ascii="宋体"/>
                <w:color w:val="auto"/>
                <w:szCs w:val="21"/>
              </w:rPr>
              <w:t>；</w:t>
            </w:r>
            <w:r>
              <w:rPr>
                <w:rFonts w:ascii="宋体"/>
                <w:color w:val="auto"/>
                <w:szCs w:val="21"/>
              </w:rPr>
              <w:t>总需求数指统计周期内由</w:t>
            </w:r>
            <w:r>
              <w:rPr>
                <w:rFonts w:hint="eastAsia" w:ascii="宋体"/>
                <w:color w:val="auto"/>
                <w:szCs w:val="21"/>
              </w:rPr>
              <w:t>甲方</w:t>
            </w:r>
            <w:r>
              <w:rPr>
                <w:rFonts w:ascii="宋体"/>
                <w:color w:val="auto"/>
                <w:szCs w:val="21"/>
              </w:rPr>
              <w:t>提出到达服务商项目组的需求个数。</w:t>
            </w:r>
          </w:p>
          <w:p w14:paraId="36F16748">
            <w:pPr>
              <w:ind w:firstLine="422"/>
              <w:rPr>
                <w:rFonts w:ascii="宋体"/>
                <w:b/>
                <w:color w:val="auto"/>
                <w:szCs w:val="21"/>
              </w:rPr>
            </w:pPr>
            <w:r>
              <w:rPr>
                <w:rFonts w:hint="eastAsia" w:ascii="宋体"/>
                <w:b/>
                <w:color w:val="auto"/>
                <w:szCs w:val="21"/>
              </w:rPr>
              <w:t>5分【98%-100%】</w:t>
            </w:r>
          </w:p>
          <w:p w14:paraId="66141630">
            <w:pPr>
              <w:ind w:firstLine="422"/>
              <w:rPr>
                <w:rFonts w:ascii="宋体"/>
                <w:b/>
                <w:color w:val="auto"/>
                <w:szCs w:val="21"/>
              </w:rPr>
            </w:pPr>
            <w:r>
              <w:rPr>
                <w:rFonts w:hint="eastAsia" w:ascii="宋体"/>
                <w:b/>
                <w:color w:val="auto"/>
                <w:szCs w:val="21"/>
              </w:rPr>
              <w:t>3分【95%-97%】</w:t>
            </w:r>
          </w:p>
          <w:p w14:paraId="2BA411E5">
            <w:pPr>
              <w:ind w:firstLine="422"/>
              <w:rPr>
                <w:rFonts w:ascii="宋体"/>
                <w:b/>
                <w:bCs/>
                <w:color w:val="auto"/>
                <w:szCs w:val="21"/>
              </w:rPr>
            </w:pPr>
            <w:r>
              <w:rPr>
                <w:rFonts w:hint="eastAsia" w:ascii="宋体"/>
                <w:b/>
                <w:color w:val="auto"/>
                <w:szCs w:val="21"/>
              </w:rPr>
              <w:t>0分【低于95%】</w:t>
            </w:r>
          </w:p>
        </w:tc>
        <w:tc>
          <w:tcPr>
            <w:tcW w:w="2375" w:type="dxa"/>
            <w:tcBorders>
              <w:left w:val="single" w:color="auto" w:sz="4" w:space="0"/>
            </w:tcBorders>
            <w:vAlign w:val="center"/>
          </w:tcPr>
          <w:p w14:paraId="504F4B97">
            <w:pPr>
              <w:ind w:firstLine="420"/>
              <w:rPr>
                <w:rFonts w:ascii="宋体"/>
                <w:color w:val="auto"/>
                <w:szCs w:val="21"/>
              </w:rPr>
            </w:pPr>
          </w:p>
        </w:tc>
        <w:tc>
          <w:tcPr>
            <w:tcW w:w="775" w:type="dxa"/>
            <w:tcBorders>
              <w:left w:val="single" w:color="auto" w:sz="4" w:space="0"/>
            </w:tcBorders>
            <w:vAlign w:val="center"/>
          </w:tcPr>
          <w:p w14:paraId="0D13D20D">
            <w:pPr>
              <w:ind w:firstLine="420"/>
              <w:jc w:val="left"/>
              <w:rPr>
                <w:rFonts w:ascii="宋体"/>
                <w:color w:val="auto"/>
                <w:szCs w:val="21"/>
              </w:rPr>
            </w:pPr>
          </w:p>
        </w:tc>
        <w:tc>
          <w:tcPr>
            <w:tcW w:w="745" w:type="dxa"/>
            <w:tcBorders>
              <w:left w:val="single" w:color="auto" w:sz="4" w:space="0"/>
            </w:tcBorders>
            <w:vAlign w:val="center"/>
          </w:tcPr>
          <w:p w14:paraId="4C6DE94E">
            <w:pPr>
              <w:ind w:firstLine="420"/>
              <w:jc w:val="left"/>
              <w:rPr>
                <w:rFonts w:ascii="宋体"/>
                <w:color w:val="auto"/>
                <w:szCs w:val="21"/>
              </w:rPr>
            </w:pPr>
          </w:p>
        </w:tc>
      </w:tr>
      <w:tr w14:paraId="16A6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63ABDFB">
            <w:pPr>
              <w:pStyle w:val="54"/>
              <w:rPr>
                <w:rFonts w:hint="default"/>
                <w:color w:val="auto"/>
              </w:rPr>
            </w:pPr>
            <w:r>
              <w:rPr>
                <w:color w:val="auto"/>
              </w:rPr>
              <w:t>12</w:t>
            </w:r>
          </w:p>
        </w:tc>
        <w:tc>
          <w:tcPr>
            <w:tcW w:w="782" w:type="dxa"/>
            <w:vMerge w:val="continue"/>
            <w:tcBorders>
              <w:left w:val="single" w:color="auto" w:sz="4" w:space="0"/>
            </w:tcBorders>
          </w:tcPr>
          <w:p w14:paraId="6696F1F1">
            <w:pPr>
              <w:pStyle w:val="54"/>
              <w:rPr>
                <w:rFonts w:hint="default"/>
                <w:color w:val="auto"/>
              </w:rPr>
            </w:pPr>
          </w:p>
        </w:tc>
        <w:tc>
          <w:tcPr>
            <w:tcW w:w="725" w:type="dxa"/>
            <w:tcBorders>
              <w:left w:val="single" w:color="auto" w:sz="4" w:space="0"/>
            </w:tcBorders>
            <w:vAlign w:val="center"/>
          </w:tcPr>
          <w:p w14:paraId="47CC8763">
            <w:pPr>
              <w:pStyle w:val="54"/>
              <w:rPr>
                <w:rFonts w:hint="default"/>
                <w:color w:val="auto"/>
              </w:rPr>
            </w:pPr>
            <w:r>
              <w:rPr>
                <w:color w:val="auto"/>
              </w:rPr>
              <w:t>人员行为规范性</w:t>
            </w:r>
          </w:p>
        </w:tc>
        <w:tc>
          <w:tcPr>
            <w:tcW w:w="3412" w:type="dxa"/>
            <w:tcBorders>
              <w:left w:val="single" w:color="auto" w:sz="4" w:space="0"/>
            </w:tcBorders>
            <w:vAlign w:val="center"/>
          </w:tcPr>
          <w:p w14:paraId="0C72BCD5">
            <w:pPr>
              <w:ind w:firstLine="420"/>
              <w:rPr>
                <w:rFonts w:ascii="宋体"/>
                <w:color w:val="auto"/>
                <w:szCs w:val="21"/>
              </w:rPr>
            </w:pPr>
            <w:r>
              <w:rPr>
                <w:rFonts w:hint="eastAsia" w:ascii="宋体"/>
                <w:color w:val="auto"/>
                <w:szCs w:val="21"/>
              </w:rPr>
              <w:t>用</w:t>
            </w:r>
            <w:r>
              <w:rPr>
                <w:rFonts w:ascii="宋体"/>
                <w:color w:val="auto"/>
                <w:szCs w:val="21"/>
              </w:rPr>
              <w:t>于记录外包场地日常管理或</w:t>
            </w:r>
            <w:r>
              <w:rPr>
                <w:rFonts w:hint="eastAsia" w:ascii="宋体"/>
                <w:color w:val="auto"/>
                <w:szCs w:val="21"/>
              </w:rPr>
              <w:t>检查</w:t>
            </w:r>
            <w:r>
              <w:rPr>
                <w:rFonts w:ascii="宋体"/>
                <w:color w:val="auto"/>
                <w:szCs w:val="21"/>
              </w:rPr>
              <w:t>过程中发现外包人员</w:t>
            </w:r>
            <w:r>
              <w:rPr>
                <w:rFonts w:hint="eastAsia" w:ascii="宋体"/>
                <w:color w:val="auto"/>
                <w:szCs w:val="21"/>
              </w:rPr>
              <w:t>行为</w:t>
            </w:r>
            <w:r>
              <w:rPr>
                <w:rFonts w:ascii="宋体"/>
                <w:color w:val="auto"/>
                <w:szCs w:val="21"/>
              </w:rPr>
              <w:t>违</w:t>
            </w:r>
            <w:r>
              <w:rPr>
                <w:rFonts w:hint="eastAsia" w:ascii="宋体"/>
                <w:color w:val="auto"/>
                <w:szCs w:val="21"/>
              </w:rPr>
              <w:t>规（包括但不限于办公纪律、造成办公环境物理安全隐患等）</w:t>
            </w:r>
            <w:r>
              <w:rPr>
                <w:rFonts w:ascii="宋体"/>
                <w:color w:val="auto"/>
                <w:szCs w:val="21"/>
              </w:rPr>
              <w:t>的次数</w:t>
            </w:r>
          </w:p>
        </w:tc>
        <w:tc>
          <w:tcPr>
            <w:tcW w:w="4463" w:type="dxa"/>
            <w:tcBorders>
              <w:left w:val="single" w:color="auto" w:sz="4" w:space="0"/>
            </w:tcBorders>
            <w:vAlign w:val="center"/>
          </w:tcPr>
          <w:p w14:paraId="28C2DF05">
            <w:pPr>
              <w:ind w:firstLine="422"/>
              <w:rPr>
                <w:rFonts w:ascii="宋体"/>
                <w:b/>
                <w:bCs/>
                <w:color w:val="auto"/>
                <w:szCs w:val="21"/>
              </w:rPr>
            </w:pPr>
            <w:r>
              <w:rPr>
                <w:rFonts w:hint="eastAsia" w:ascii="宋体"/>
                <w:b/>
                <w:bCs/>
                <w:color w:val="auto"/>
                <w:szCs w:val="21"/>
              </w:rPr>
              <w:t>【得分上限1</w:t>
            </w:r>
            <w:r>
              <w:rPr>
                <w:rFonts w:ascii="宋体"/>
                <w:b/>
                <w:bCs/>
                <w:color w:val="auto"/>
                <w:szCs w:val="21"/>
              </w:rPr>
              <w:t>0</w:t>
            </w:r>
            <w:r>
              <w:rPr>
                <w:rFonts w:hint="eastAsia" w:ascii="宋体"/>
                <w:b/>
                <w:bCs/>
                <w:color w:val="auto"/>
                <w:szCs w:val="21"/>
              </w:rPr>
              <w:t>分】</w:t>
            </w:r>
          </w:p>
          <w:p w14:paraId="56F279AA">
            <w:pPr>
              <w:ind w:firstLine="422"/>
              <w:rPr>
                <w:rFonts w:ascii="宋体"/>
                <w:color w:val="auto"/>
                <w:szCs w:val="21"/>
              </w:rPr>
            </w:pPr>
            <w:r>
              <w:rPr>
                <w:rFonts w:hint="eastAsia" w:ascii="宋体"/>
                <w:b/>
                <w:bCs/>
                <w:color w:val="auto"/>
                <w:szCs w:val="21"/>
              </w:rPr>
              <w:t>0次：</w:t>
            </w:r>
            <w:r>
              <w:rPr>
                <w:rFonts w:hint="eastAsia" w:ascii="宋体"/>
                <w:color w:val="auto"/>
                <w:szCs w:val="21"/>
              </w:rPr>
              <w:t>指未出现外包人员行为违规，该项指标满分；</w:t>
            </w:r>
          </w:p>
          <w:p w14:paraId="2F32471A">
            <w:pPr>
              <w:ind w:firstLine="422"/>
              <w:rPr>
                <w:rFonts w:ascii="宋体"/>
                <w:color w:val="auto"/>
                <w:szCs w:val="21"/>
              </w:rPr>
            </w:pPr>
            <w:r>
              <w:rPr>
                <w:rFonts w:hint="eastAsia" w:ascii="宋体"/>
                <w:b/>
                <w:bCs/>
                <w:color w:val="auto"/>
                <w:szCs w:val="21"/>
              </w:rPr>
              <w:t>1次及以上：</w:t>
            </w:r>
            <w:r>
              <w:rPr>
                <w:rFonts w:hint="eastAsia" w:ascii="宋体"/>
                <w:color w:val="auto"/>
                <w:szCs w:val="21"/>
              </w:rPr>
              <w:t>指检查发现外包人员行为违规1次及以上（每人次扣5分，最高扣除1</w:t>
            </w:r>
            <w:r>
              <w:rPr>
                <w:rFonts w:ascii="宋体"/>
                <w:color w:val="auto"/>
                <w:szCs w:val="21"/>
              </w:rPr>
              <w:t>0</w:t>
            </w:r>
            <w:r>
              <w:rPr>
                <w:rFonts w:hint="eastAsia" w:ascii="宋体"/>
                <w:color w:val="auto"/>
                <w:szCs w:val="21"/>
              </w:rPr>
              <w:t>分）</w:t>
            </w:r>
          </w:p>
        </w:tc>
        <w:tc>
          <w:tcPr>
            <w:tcW w:w="2375" w:type="dxa"/>
            <w:tcBorders>
              <w:left w:val="single" w:color="auto" w:sz="4" w:space="0"/>
            </w:tcBorders>
            <w:vAlign w:val="center"/>
          </w:tcPr>
          <w:p w14:paraId="36DE69D7">
            <w:pPr>
              <w:ind w:firstLine="420"/>
              <w:rPr>
                <w:rFonts w:ascii="宋体"/>
                <w:color w:val="auto"/>
                <w:szCs w:val="21"/>
              </w:rPr>
            </w:pPr>
            <w:r>
              <w:rPr>
                <w:rFonts w:hint="eastAsia" w:ascii="宋体"/>
                <w:color w:val="auto"/>
                <w:szCs w:val="21"/>
              </w:rPr>
              <w:t>每出现一次人员行为</w:t>
            </w:r>
            <w:r>
              <w:rPr>
                <w:rFonts w:ascii="宋体"/>
                <w:color w:val="auto"/>
                <w:szCs w:val="21"/>
              </w:rPr>
              <w:t>违规</w:t>
            </w:r>
            <w:r>
              <w:rPr>
                <w:rFonts w:hint="eastAsia" w:ascii="宋体"/>
                <w:color w:val="auto"/>
                <w:szCs w:val="21"/>
              </w:rPr>
              <w:t>，扣除乙方金额人民币不低于500元。</w:t>
            </w:r>
          </w:p>
        </w:tc>
        <w:tc>
          <w:tcPr>
            <w:tcW w:w="775" w:type="dxa"/>
            <w:tcBorders>
              <w:left w:val="single" w:color="auto" w:sz="4" w:space="0"/>
            </w:tcBorders>
            <w:vAlign w:val="center"/>
          </w:tcPr>
          <w:p w14:paraId="0D8F3C31">
            <w:pPr>
              <w:ind w:firstLine="420"/>
              <w:jc w:val="left"/>
              <w:rPr>
                <w:rFonts w:ascii="宋体"/>
                <w:color w:val="auto"/>
                <w:szCs w:val="21"/>
              </w:rPr>
            </w:pPr>
          </w:p>
        </w:tc>
        <w:tc>
          <w:tcPr>
            <w:tcW w:w="745" w:type="dxa"/>
            <w:tcBorders>
              <w:left w:val="single" w:color="auto" w:sz="4" w:space="0"/>
            </w:tcBorders>
            <w:vAlign w:val="center"/>
          </w:tcPr>
          <w:p w14:paraId="4B04EA88">
            <w:pPr>
              <w:ind w:firstLine="420"/>
              <w:jc w:val="left"/>
              <w:rPr>
                <w:rFonts w:ascii="宋体"/>
                <w:color w:val="auto"/>
                <w:szCs w:val="21"/>
              </w:rPr>
            </w:pPr>
          </w:p>
        </w:tc>
      </w:tr>
      <w:tr w14:paraId="0E67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53A4C86">
            <w:pPr>
              <w:pStyle w:val="54"/>
              <w:rPr>
                <w:rFonts w:hint="default"/>
                <w:color w:val="auto"/>
              </w:rPr>
            </w:pPr>
            <w:r>
              <w:rPr>
                <w:color w:val="auto"/>
              </w:rPr>
              <w:t>13</w:t>
            </w:r>
          </w:p>
        </w:tc>
        <w:tc>
          <w:tcPr>
            <w:tcW w:w="782" w:type="dxa"/>
            <w:vMerge w:val="continue"/>
            <w:tcBorders>
              <w:left w:val="single" w:color="auto" w:sz="4" w:space="0"/>
            </w:tcBorders>
          </w:tcPr>
          <w:p w14:paraId="28966C19">
            <w:pPr>
              <w:pStyle w:val="54"/>
              <w:rPr>
                <w:rFonts w:hint="default"/>
                <w:color w:val="auto"/>
              </w:rPr>
            </w:pPr>
          </w:p>
        </w:tc>
        <w:tc>
          <w:tcPr>
            <w:tcW w:w="725" w:type="dxa"/>
            <w:tcBorders>
              <w:left w:val="single" w:color="auto" w:sz="4" w:space="0"/>
            </w:tcBorders>
            <w:vAlign w:val="center"/>
          </w:tcPr>
          <w:p w14:paraId="2DBDD67F">
            <w:pPr>
              <w:pStyle w:val="54"/>
              <w:rPr>
                <w:rFonts w:hint="default"/>
                <w:color w:val="auto"/>
              </w:rPr>
            </w:pPr>
            <w:r>
              <w:rPr>
                <w:color w:val="auto"/>
              </w:rPr>
              <w:t>人员变动率</w:t>
            </w:r>
          </w:p>
        </w:tc>
        <w:tc>
          <w:tcPr>
            <w:tcW w:w="3412" w:type="dxa"/>
            <w:tcBorders>
              <w:left w:val="single" w:color="auto" w:sz="4" w:space="0"/>
            </w:tcBorders>
            <w:vAlign w:val="center"/>
          </w:tcPr>
          <w:p w14:paraId="66DA90B0">
            <w:pPr>
              <w:ind w:firstLine="420"/>
              <w:rPr>
                <w:rFonts w:ascii="宋体"/>
                <w:color w:val="auto"/>
                <w:szCs w:val="21"/>
              </w:rPr>
            </w:pPr>
            <w:r>
              <w:rPr>
                <w:rFonts w:hint="eastAsia" w:ascii="宋体"/>
                <w:color w:val="auto"/>
                <w:szCs w:val="21"/>
              </w:rPr>
              <w:t>用</w:t>
            </w:r>
            <w:r>
              <w:rPr>
                <w:rFonts w:ascii="宋体"/>
                <w:color w:val="auto"/>
                <w:szCs w:val="21"/>
              </w:rPr>
              <w:t>于记录统计周期内</w:t>
            </w:r>
            <w:r>
              <w:rPr>
                <w:rFonts w:hint="eastAsia" w:ascii="宋体"/>
                <w:color w:val="auto"/>
                <w:szCs w:val="21"/>
              </w:rPr>
              <w:t>乙方未经甲方同意</w:t>
            </w:r>
            <w:r>
              <w:rPr>
                <w:rFonts w:ascii="宋体"/>
                <w:color w:val="auto"/>
                <w:szCs w:val="21"/>
              </w:rPr>
              <w:t>更换外包人员数量占</w:t>
            </w:r>
            <w:r>
              <w:rPr>
                <w:rFonts w:hint="eastAsia" w:ascii="宋体"/>
                <w:color w:val="auto"/>
                <w:szCs w:val="21"/>
              </w:rPr>
              <w:t>乙方</w:t>
            </w:r>
            <w:r>
              <w:rPr>
                <w:rFonts w:ascii="宋体"/>
                <w:color w:val="auto"/>
                <w:szCs w:val="21"/>
              </w:rPr>
              <w:t>驻场外包人员总数量的比率</w:t>
            </w:r>
          </w:p>
        </w:tc>
        <w:tc>
          <w:tcPr>
            <w:tcW w:w="4463" w:type="dxa"/>
            <w:tcBorders>
              <w:left w:val="single" w:color="auto" w:sz="4" w:space="0"/>
            </w:tcBorders>
            <w:vAlign w:val="center"/>
          </w:tcPr>
          <w:p w14:paraId="69EDA5DF">
            <w:pPr>
              <w:ind w:firstLine="420"/>
              <w:rPr>
                <w:rFonts w:ascii="宋体"/>
                <w:color w:val="auto"/>
                <w:szCs w:val="21"/>
              </w:rPr>
            </w:pPr>
            <w:r>
              <w:rPr>
                <w:rFonts w:hint="eastAsia" w:ascii="宋体"/>
                <w:color w:val="auto"/>
                <w:szCs w:val="21"/>
              </w:rPr>
              <w:t>人</w:t>
            </w:r>
            <w:r>
              <w:rPr>
                <w:rFonts w:ascii="宋体"/>
                <w:color w:val="auto"/>
                <w:szCs w:val="21"/>
              </w:rPr>
              <w:t>员变动率=</w:t>
            </w:r>
            <w:r>
              <w:rPr>
                <w:rFonts w:hint="eastAsia" w:ascii="宋体"/>
                <w:color w:val="auto"/>
                <w:szCs w:val="21"/>
              </w:rPr>
              <w:t>乙方未经甲方同意</w:t>
            </w:r>
            <w:r>
              <w:rPr>
                <w:rFonts w:ascii="宋体"/>
                <w:color w:val="auto"/>
                <w:szCs w:val="21"/>
              </w:rPr>
              <w:t>更换外包人员数量/</w:t>
            </w:r>
            <w:r>
              <w:rPr>
                <w:rFonts w:hint="eastAsia" w:ascii="宋体"/>
                <w:color w:val="auto"/>
                <w:szCs w:val="21"/>
              </w:rPr>
              <w:t>乙方</w:t>
            </w:r>
            <w:r>
              <w:rPr>
                <w:rFonts w:ascii="宋体"/>
                <w:color w:val="auto"/>
                <w:szCs w:val="21"/>
              </w:rPr>
              <w:t>驻场外包人员总数量</w:t>
            </w:r>
          </w:p>
          <w:p w14:paraId="5D015877">
            <w:pPr>
              <w:ind w:firstLine="422"/>
              <w:rPr>
                <w:rFonts w:ascii="宋体"/>
                <w:b/>
                <w:color w:val="auto"/>
                <w:szCs w:val="21"/>
              </w:rPr>
            </w:pPr>
            <w:r>
              <w:rPr>
                <w:rFonts w:hint="eastAsia" w:ascii="宋体"/>
                <w:b/>
                <w:color w:val="auto"/>
                <w:szCs w:val="21"/>
              </w:rPr>
              <w:t>10分【0-20%】</w:t>
            </w:r>
          </w:p>
          <w:p w14:paraId="17ABC21F">
            <w:pPr>
              <w:ind w:firstLine="422"/>
              <w:rPr>
                <w:rFonts w:ascii="宋体"/>
                <w:b/>
                <w:color w:val="auto"/>
                <w:szCs w:val="21"/>
              </w:rPr>
            </w:pPr>
            <w:r>
              <w:rPr>
                <w:rFonts w:hint="eastAsia" w:ascii="宋体"/>
                <w:b/>
                <w:color w:val="auto"/>
                <w:szCs w:val="21"/>
              </w:rPr>
              <w:t>5分【20%-40%】</w:t>
            </w:r>
          </w:p>
          <w:p w14:paraId="3342E086">
            <w:pPr>
              <w:ind w:firstLine="422"/>
              <w:rPr>
                <w:rFonts w:ascii="宋体"/>
                <w:b/>
                <w:color w:val="auto"/>
                <w:szCs w:val="21"/>
              </w:rPr>
            </w:pPr>
            <w:r>
              <w:rPr>
                <w:rFonts w:hint="eastAsia" w:ascii="宋体"/>
                <w:b/>
                <w:color w:val="auto"/>
                <w:szCs w:val="21"/>
              </w:rPr>
              <w:t>0分【超过40%】</w:t>
            </w:r>
          </w:p>
        </w:tc>
        <w:tc>
          <w:tcPr>
            <w:tcW w:w="2375" w:type="dxa"/>
            <w:tcBorders>
              <w:left w:val="single" w:color="auto" w:sz="4" w:space="0"/>
            </w:tcBorders>
            <w:vAlign w:val="center"/>
          </w:tcPr>
          <w:p w14:paraId="27AC568A">
            <w:pPr>
              <w:ind w:firstLine="420"/>
              <w:rPr>
                <w:rFonts w:ascii="宋体"/>
                <w:color w:val="auto"/>
                <w:szCs w:val="21"/>
              </w:rPr>
            </w:pPr>
            <w:r>
              <w:rPr>
                <w:rFonts w:hint="eastAsia" w:ascii="宋体"/>
                <w:color w:val="auto"/>
                <w:szCs w:val="21"/>
              </w:rPr>
              <w:t>技术骨干或项目经理未经甲方同意变动，扣除乙方金额人民币不低于3万元；其余人员变动率超过40</w:t>
            </w:r>
            <w:r>
              <w:rPr>
                <w:rFonts w:ascii="宋体"/>
                <w:color w:val="auto"/>
                <w:szCs w:val="21"/>
              </w:rPr>
              <w:t>%</w:t>
            </w:r>
            <w:r>
              <w:rPr>
                <w:rFonts w:hint="eastAsia" w:ascii="宋体"/>
                <w:color w:val="auto"/>
                <w:szCs w:val="21"/>
              </w:rPr>
              <w:t>，扣除不低于合同总金额的1%。</w:t>
            </w:r>
          </w:p>
        </w:tc>
        <w:tc>
          <w:tcPr>
            <w:tcW w:w="775" w:type="dxa"/>
            <w:tcBorders>
              <w:left w:val="single" w:color="auto" w:sz="4" w:space="0"/>
            </w:tcBorders>
            <w:vAlign w:val="center"/>
          </w:tcPr>
          <w:p w14:paraId="1980A827">
            <w:pPr>
              <w:ind w:firstLine="420"/>
              <w:jc w:val="left"/>
              <w:rPr>
                <w:rFonts w:ascii="宋体"/>
                <w:color w:val="auto"/>
                <w:szCs w:val="21"/>
              </w:rPr>
            </w:pPr>
          </w:p>
        </w:tc>
        <w:tc>
          <w:tcPr>
            <w:tcW w:w="745" w:type="dxa"/>
            <w:tcBorders>
              <w:left w:val="single" w:color="auto" w:sz="4" w:space="0"/>
            </w:tcBorders>
            <w:vAlign w:val="center"/>
          </w:tcPr>
          <w:p w14:paraId="77BFA699">
            <w:pPr>
              <w:ind w:firstLine="420"/>
              <w:jc w:val="left"/>
              <w:rPr>
                <w:rFonts w:ascii="宋体"/>
                <w:color w:val="auto"/>
                <w:szCs w:val="21"/>
              </w:rPr>
            </w:pPr>
          </w:p>
        </w:tc>
      </w:tr>
      <w:tr w14:paraId="6671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7F1F0D7">
            <w:pPr>
              <w:pStyle w:val="54"/>
              <w:rPr>
                <w:rFonts w:hint="default"/>
                <w:color w:val="auto"/>
              </w:rPr>
            </w:pPr>
            <w:r>
              <w:rPr>
                <w:color w:val="auto"/>
              </w:rPr>
              <w:t>14</w:t>
            </w:r>
          </w:p>
        </w:tc>
        <w:tc>
          <w:tcPr>
            <w:tcW w:w="782" w:type="dxa"/>
            <w:vMerge w:val="continue"/>
            <w:tcBorders>
              <w:left w:val="single" w:color="auto" w:sz="4" w:space="0"/>
            </w:tcBorders>
          </w:tcPr>
          <w:p w14:paraId="07B128FF">
            <w:pPr>
              <w:pStyle w:val="54"/>
              <w:rPr>
                <w:rFonts w:hint="default"/>
                <w:color w:val="auto"/>
              </w:rPr>
            </w:pPr>
          </w:p>
        </w:tc>
        <w:tc>
          <w:tcPr>
            <w:tcW w:w="725" w:type="dxa"/>
            <w:tcBorders>
              <w:left w:val="single" w:color="auto" w:sz="4" w:space="0"/>
            </w:tcBorders>
            <w:vAlign w:val="center"/>
          </w:tcPr>
          <w:p w14:paraId="327E7DA7">
            <w:pPr>
              <w:pStyle w:val="54"/>
              <w:rPr>
                <w:rFonts w:hint="default"/>
                <w:color w:val="auto"/>
              </w:rPr>
            </w:pPr>
            <w:r>
              <w:rPr>
                <w:color w:val="auto"/>
              </w:rPr>
              <w:t>人员满意度评价</w:t>
            </w:r>
          </w:p>
        </w:tc>
        <w:tc>
          <w:tcPr>
            <w:tcW w:w="3412" w:type="dxa"/>
            <w:tcBorders>
              <w:left w:val="single" w:color="auto" w:sz="4" w:space="0"/>
            </w:tcBorders>
            <w:vAlign w:val="center"/>
          </w:tcPr>
          <w:p w14:paraId="39A7404B">
            <w:pPr>
              <w:ind w:firstLine="420"/>
              <w:rPr>
                <w:rFonts w:ascii="宋体"/>
                <w:color w:val="auto"/>
                <w:szCs w:val="21"/>
              </w:rPr>
            </w:pPr>
            <w:r>
              <w:rPr>
                <w:rFonts w:hint="eastAsia" w:ascii="宋体"/>
                <w:color w:val="auto"/>
                <w:szCs w:val="21"/>
              </w:rPr>
              <w:t>甲方</w:t>
            </w:r>
            <w:r>
              <w:rPr>
                <w:rFonts w:ascii="宋体"/>
                <w:color w:val="auto"/>
                <w:szCs w:val="21"/>
              </w:rPr>
              <w:t>对</w:t>
            </w:r>
            <w:r>
              <w:rPr>
                <w:rFonts w:hint="eastAsia" w:ascii="宋体"/>
                <w:color w:val="auto"/>
                <w:szCs w:val="21"/>
              </w:rPr>
              <w:t>乙方</w:t>
            </w:r>
            <w:r>
              <w:rPr>
                <w:rFonts w:ascii="宋体"/>
                <w:color w:val="auto"/>
                <w:szCs w:val="21"/>
              </w:rPr>
              <w:t>外包人员表现的满意度评价</w:t>
            </w:r>
          </w:p>
        </w:tc>
        <w:tc>
          <w:tcPr>
            <w:tcW w:w="4463" w:type="dxa"/>
            <w:tcBorders>
              <w:left w:val="single" w:color="auto" w:sz="4" w:space="0"/>
            </w:tcBorders>
            <w:vAlign w:val="center"/>
          </w:tcPr>
          <w:p w14:paraId="605A41CE">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工作效率高，态度积极主动，</w:t>
            </w:r>
            <w:r>
              <w:rPr>
                <w:rFonts w:ascii="宋体"/>
                <w:color w:val="auto"/>
                <w:szCs w:val="21"/>
              </w:rPr>
              <w:t>保质保量完成工作任务</w:t>
            </w:r>
            <w:r>
              <w:rPr>
                <w:rFonts w:hint="eastAsia" w:ascii="宋体"/>
                <w:color w:val="auto"/>
                <w:szCs w:val="21"/>
              </w:rPr>
              <w:t>，</w:t>
            </w:r>
            <w:r>
              <w:rPr>
                <w:rFonts w:ascii="宋体"/>
                <w:color w:val="auto"/>
                <w:szCs w:val="21"/>
              </w:rPr>
              <w:t>对团队有突出贡献，日常行为能起到模范带头作用</w:t>
            </w:r>
            <w:r>
              <w:rPr>
                <w:rFonts w:hint="eastAsia" w:ascii="宋体"/>
                <w:color w:val="auto"/>
                <w:szCs w:val="21"/>
              </w:rPr>
              <w:t>的；</w:t>
            </w:r>
          </w:p>
          <w:p w14:paraId="019B5D66">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工作效率较高，态度比较主动，较好</w:t>
            </w:r>
            <w:r>
              <w:rPr>
                <w:rFonts w:ascii="宋体"/>
                <w:color w:val="auto"/>
                <w:szCs w:val="21"/>
              </w:rPr>
              <w:t>完成工作任务</w:t>
            </w:r>
            <w:r>
              <w:rPr>
                <w:rFonts w:hint="eastAsia" w:ascii="宋体"/>
                <w:color w:val="auto"/>
                <w:szCs w:val="21"/>
              </w:rPr>
              <w:t>，</w:t>
            </w:r>
            <w:r>
              <w:rPr>
                <w:rFonts w:ascii="宋体"/>
                <w:color w:val="auto"/>
                <w:szCs w:val="21"/>
              </w:rPr>
              <w:t>对团队有</w:t>
            </w:r>
            <w:r>
              <w:rPr>
                <w:rFonts w:hint="eastAsia" w:ascii="宋体"/>
                <w:color w:val="auto"/>
                <w:szCs w:val="21"/>
              </w:rPr>
              <w:t>一定</w:t>
            </w:r>
            <w:r>
              <w:rPr>
                <w:rFonts w:ascii="宋体"/>
                <w:color w:val="auto"/>
                <w:szCs w:val="21"/>
              </w:rPr>
              <w:t>贡献，日常行为</w:t>
            </w:r>
            <w:r>
              <w:rPr>
                <w:rFonts w:hint="eastAsia" w:ascii="宋体"/>
                <w:color w:val="auto"/>
                <w:szCs w:val="21"/>
              </w:rPr>
              <w:t>表现较好的；</w:t>
            </w:r>
          </w:p>
          <w:p w14:paraId="405AB233">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工作效率一般，态度合格，能够按时</w:t>
            </w:r>
            <w:r>
              <w:rPr>
                <w:rFonts w:ascii="宋体"/>
                <w:color w:val="auto"/>
                <w:szCs w:val="21"/>
              </w:rPr>
              <w:t>完成工作任务</w:t>
            </w:r>
            <w:r>
              <w:rPr>
                <w:rFonts w:hint="eastAsia" w:ascii="宋体"/>
                <w:color w:val="auto"/>
                <w:szCs w:val="21"/>
              </w:rPr>
              <w:t>的；</w:t>
            </w:r>
          </w:p>
          <w:p w14:paraId="72732571">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工作效率低下，态度懈怠散漫，不能按时</w:t>
            </w:r>
            <w:r>
              <w:rPr>
                <w:rFonts w:ascii="宋体"/>
                <w:color w:val="auto"/>
                <w:szCs w:val="21"/>
              </w:rPr>
              <w:t>完成工作任务</w:t>
            </w:r>
            <w:r>
              <w:rPr>
                <w:rFonts w:hint="eastAsia" w:ascii="宋体"/>
                <w:color w:val="auto"/>
                <w:szCs w:val="21"/>
              </w:rPr>
              <w:t>的。</w:t>
            </w:r>
          </w:p>
        </w:tc>
        <w:tc>
          <w:tcPr>
            <w:tcW w:w="2375" w:type="dxa"/>
            <w:tcBorders>
              <w:left w:val="single" w:color="auto" w:sz="4" w:space="0"/>
            </w:tcBorders>
            <w:vAlign w:val="center"/>
          </w:tcPr>
          <w:p w14:paraId="46706054">
            <w:pPr>
              <w:ind w:firstLine="420"/>
              <w:rPr>
                <w:rFonts w:ascii="宋体"/>
                <w:color w:val="auto"/>
                <w:szCs w:val="21"/>
              </w:rPr>
            </w:pPr>
            <w:r>
              <w:rPr>
                <w:rFonts w:hint="eastAsia" w:ascii="宋体"/>
                <w:color w:val="auto"/>
                <w:szCs w:val="21"/>
              </w:rPr>
              <w:t>评价为较差/差时，甲方有权要求乙方更换人员并赔偿实际损失。</w:t>
            </w:r>
          </w:p>
        </w:tc>
        <w:tc>
          <w:tcPr>
            <w:tcW w:w="775" w:type="dxa"/>
            <w:tcBorders>
              <w:left w:val="single" w:color="auto" w:sz="4" w:space="0"/>
            </w:tcBorders>
            <w:vAlign w:val="center"/>
          </w:tcPr>
          <w:p w14:paraId="602C4F27">
            <w:pPr>
              <w:ind w:firstLine="420"/>
              <w:jc w:val="left"/>
              <w:rPr>
                <w:rFonts w:ascii="宋体"/>
                <w:color w:val="auto"/>
                <w:szCs w:val="21"/>
              </w:rPr>
            </w:pPr>
          </w:p>
        </w:tc>
        <w:tc>
          <w:tcPr>
            <w:tcW w:w="745" w:type="dxa"/>
            <w:tcBorders>
              <w:left w:val="single" w:color="auto" w:sz="4" w:space="0"/>
            </w:tcBorders>
            <w:vAlign w:val="center"/>
          </w:tcPr>
          <w:p w14:paraId="1EE586CD">
            <w:pPr>
              <w:ind w:firstLine="420"/>
              <w:jc w:val="left"/>
              <w:rPr>
                <w:rFonts w:ascii="宋体"/>
                <w:color w:val="auto"/>
                <w:szCs w:val="21"/>
              </w:rPr>
            </w:pPr>
          </w:p>
        </w:tc>
      </w:tr>
      <w:tr w14:paraId="23DA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6" w:type="dxa"/>
            <w:gridSpan w:val="7"/>
            <w:vAlign w:val="center"/>
          </w:tcPr>
          <w:p w14:paraId="200DE223">
            <w:pPr>
              <w:ind w:firstLine="420"/>
              <w:jc w:val="right"/>
              <w:rPr>
                <w:rFonts w:ascii="宋体"/>
                <w:color w:val="auto"/>
                <w:szCs w:val="21"/>
              </w:rPr>
            </w:pPr>
            <w:r>
              <w:rPr>
                <w:rFonts w:hint="eastAsia" w:ascii="宋体"/>
                <w:color w:val="auto"/>
                <w:szCs w:val="21"/>
              </w:rPr>
              <w:t>综合得分：</w:t>
            </w:r>
          </w:p>
        </w:tc>
        <w:tc>
          <w:tcPr>
            <w:tcW w:w="745" w:type="dxa"/>
            <w:tcBorders>
              <w:left w:val="single" w:color="auto" w:sz="4" w:space="0"/>
            </w:tcBorders>
          </w:tcPr>
          <w:p w14:paraId="4FA91016">
            <w:pPr>
              <w:ind w:firstLine="420"/>
              <w:jc w:val="left"/>
              <w:rPr>
                <w:rFonts w:ascii="宋体"/>
                <w:color w:val="auto"/>
                <w:szCs w:val="21"/>
              </w:rPr>
            </w:pPr>
          </w:p>
        </w:tc>
      </w:tr>
      <w:tr w14:paraId="4BD8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3981" w:type="dxa"/>
            <w:gridSpan w:val="8"/>
          </w:tcPr>
          <w:p w14:paraId="236BCEAA">
            <w:pPr>
              <w:ind w:firstLine="420"/>
              <w:jc w:val="left"/>
              <w:rPr>
                <w:rFonts w:ascii="宋体"/>
                <w:color w:val="auto"/>
                <w:szCs w:val="21"/>
              </w:rPr>
            </w:pPr>
            <w:r>
              <w:rPr>
                <w:rFonts w:hint="eastAsia" w:ascii="宋体"/>
                <w:color w:val="auto"/>
                <w:szCs w:val="21"/>
              </w:rPr>
              <w:t>综合评价结果：</w:t>
            </w:r>
          </w:p>
          <w:p w14:paraId="79E40B19">
            <w:pPr>
              <w:ind w:firstLine="420"/>
              <w:jc w:val="left"/>
              <w:rPr>
                <w:rFonts w:ascii="宋体"/>
                <w:color w:val="auto"/>
                <w:szCs w:val="21"/>
              </w:rPr>
            </w:pPr>
            <w:r>
              <w:rPr>
                <w:rFonts w:hint="eastAsia" w:ascii="宋体"/>
                <w:color w:val="auto"/>
                <w:szCs w:val="21"/>
              </w:rPr>
              <w:t>（注：根据评价得分填写评价等级，填写完成后删除此内容）</w:t>
            </w:r>
          </w:p>
          <w:p w14:paraId="3C8AB8E4">
            <w:pPr>
              <w:ind w:firstLine="420"/>
              <w:jc w:val="left"/>
              <w:rPr>
                <w:rFonts w:ascii="宋体"/>
                <w:color w:val="auto"/>
                <w:szCs w:val="21"/>
              </w:rPr>
            </w:pPr>
            <w:r>
              <w:rPr>
                <w:rFonts w:hint="eastAsia" w:ascii="宋体"/>
                <w:color w:val="auto"/>
                <w:szCs w:val="21"/>
              </w:rPr>
              <w:t>综合评价描述：</w:t>
            </w:r>
          </w:p>
          <w:p w14:paraId="30E3D194">
            <w:pPr>
              <w:ind w:firstLine="420"/>
              <w:jc w:val="left"/>
              <w:rPr>
                <w:rFonts w:ascii="宋体"/>
                <w:color w:val="auto"/>
                <w:szCs w:val="21"/>
              </w:rPr>
            </w:pPr>
            <w:r>
              <w:rPr>
                <w:rFonts w:hint="eastAsia" w:ascii="宋体"/>
                <w:color w:val="auto"/>
                <w:szCs w:val="21"/>
              </w:rPr>
              <w:t>（注：不满足服务要求的情况，需详细阐述不满足的内容及扣除合同违约金，填写完成后删除此内容）</w:t>
            </w:r>
          </w:p>
          <w:p w14:paraId="2EEBF0EF">
            <w:pPr>
              <w:ind w:firstLine="420"/>
              <w:jc w:val="left"/>
              <w:rPr>
                <w:rFonts w:ascii="宋体"/>
                <w:color w:val="auto"/>
                <w:szCs w:val="21"/>
              </w:rPr>
            </w:pPr>
          </w:p>
          <w:p w14:paraId="2C86D652">
            <w:pPr>
              <w:wordWrap w:val="0"/>
              <w:ind w:firstLine="420"/>
              <w:jc w:val="right"/>
              <w:rPr>
                <w:rFonts w:ascii="宋体"/>
                <w:color w:val="auto"/>
                <w:szCs w:val="21"/>
              </w:rPr>
            </w:pPr>
            <w:r>
              <w:rPr>
                <w:rFonts w:hint="eastAsia" w:ascii="宋体"/>
                <w:color w:val="auto"/>
                <w:szCs w:val="21"/>
              </w:rPr>
              <w:t xml:space="preserve">评价人：                                       </w:t>
            </w:r>
          </w:p>
        </w:tc>
      </w:tr>
    </w:tbl>
    <w:p w14:paraId="5607C0B1">
      <w:pPr>
        <w:ind w:firstLine="420"/>
        <w:rPr>
          <w:rFonts w:ascii="宋体"/>
          <w:color w:val="auto"/>
        </w:rPr>
      </w:pPr>
      <w:r>
        <w:rPr>
          <w:rFonts w:hint="eastAsia" w:ascii="宋体"/>
          <w:color w:val="auto"/>
        </w:rPr>
        <w:t>注：综合评价等级划分优秀、良好、合格、差</w:t>
      </w:r>
    </w:p>
    <w:p w14:paraId="0278252A">
      <w:pPr>
        <w:ind w:firstLine="420"/>
        <w:rPr>
          <w:rFonts w:ascii="宋体"/>
          <w:color w:val="auto"/>
        </w:rPr>
      </w:pPr>
      <w:r>
        <w:rPr>
          <w:rFonts w:hint="eastAsia" w:ascii="宋体"/>
          <w:color w:val="auto"/>
        </w:rPr>
        <w:t>优秀：评价得分达90分以上；</w:t>
      </w:r>
    </w:p>
    <w:p w14:paraId="56366E16">
      <w:pPr>
        <w:ind w:firstLine="420"/>
        <w:rPr>
          <w:rFonts w:ascii="宋体"/>
          <w:color w:val="auto"/>
        </w:rPr>
      </w:pPr>
      <w:r>
        <w:rPr>
          <w:rFonts w:hint="eastAsia" w:ascii="宋体"/>
          <w:color w:val="auto"/>
        </w:rPr>
        <w:t>良好：评价得分达75-90分；</w:t>
      </w:r>
    </w:p>
    <w:p w14:paraId="012A13D2">
      <w:pPr>
        <w:ind w:firstLine="420"/>
        <w:rPr>
          <w:rFonts w:ascii="宋体"/>
          <w:color w:val="auto"/>
        </w:rPr>
      </w:pPr>
      <w:r>
        <w:rPr>
          <w:rFonts w:hint="eastAsia" w:ascii="宋体"/>
          <w:color w:val="auto"/>
        </w:rPr>
        <w:t>合格：评价得分达60-75分；</w:t>
      </w:r>
    </w:p>
    <w:p w14:paraId="464710E4">
      <w:pPr>
        <w:ind w:firstLine="420"/>
        <w:rPr>
          <w:rFonts w:ascii="宋体"/>
          <w:color w:val="auto"/>
        </w:rPr>
      </w:pPr>
      <w:r>
        <w:rPr>
          <w:rFonts w:hint="eastAsia" w:ascii="宋体"/>
          <w:color w:val="auto"/>
        </w:rPr>
        <w:t>差：评价得分在60分以下。</w:t>
      </w:r>
    </w:p>
    <w:bookmarkEnd w:id="982"/>
    <w:p w14:paraId="2F5FDE1C">
      <w:pPr>
        <w:ind w:firstLine="420"/>
        <w:rPr>
          <w:rFonts w:ascii="宋体"/>
          <w:color w:val="auto"/>
        </w:rPr>
      </w:pPr>
      <w:r>
        <w:rPr>
          <w:rFonts w:hint="eastAsia" w:ascii="宋体"/>
          <w:color w:val="auto"/>
        </w:rPr>
        <w:t>评价结果将作为服务提供商后续准入的重要参考依据。</w:t>
      </w:r>
    </w:p>
    <w:p w14:paraId="0BD8B0F7">
      <w:pPr>
        <w:ind w:firstLine="420"/>
        <w:rPr>
          <w:rFonts w:ascii="宋体"/>
          <w:color w:val="auto"/>
          <w:szCs w:val="24"/>
        </w:rPr>
        <w:sectPr>
          <w:pgSz w:w="16838" w:h="11906" w:orient="landscape"/>
          <w:pgMar w:top="1800" w:right="1384" w:bottom="1800" w:left="1440" w:header="851" w:footer="992" w:gutter="0"/>
          <w:pgNumType w:fmt="decimal"/>
          <w:cols w:space="720" w:num="1"/>
          <w:docGrid w:type="lines" w:linePitch="326" w:charSpace="14336"/>
        </w:sectPr>
      </w:pPr>
    </w:p>
    <w:p w14:paraId="1309B093">
      <w:pPr>
        <w:ind w:firstLine="420"/>
        <w:rPr>
          <w:rFonts w:ascii="宋体"/>
          <w:color w:val="auto"/>
          <w:szCs w:val="24"/>
        </w:rPr>
      </w:pPr>
      <w:r>
        <w:rPr>
          <w:rFonts w:hint="eastAsia" w:ascii="宋体"/>
          <w:color w:val="auto"/>
          <w:szCs w:val="24"/>
        </w:rPr>
        <w:t>【测试</w:t>
      </w:r>
      <w:r>
        <w:rPr>
          <w:rFonts w:ascii="宋体"/>
          <w:color w:val="auto"/>
          <w:szCs w:val="24"/>
        </w:rPr>
        <w:t>】</w:t>
      </w:r>
      <w:r>
        <w:rPr>
          <w:rFonts w:hint="eastAsia" w:ascii="宋体"/>
          <w:color w:val="auto"/>
          <w:szCs w:val="24"/>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p w14:paraId="75C7BDC2">
      <w:pPr>
        <w:ind w:firstLine="420"/>
        <w:rPr>
          <w:rFonts w:ascii="宋体"/>
          <w:color w:val="auto"/>
          <w:szCs w:val="24"/>
        </w:rPr>
        <w:sectPr>
          <w:pgSz w:w="11906" w:h="16838"/>
          <w:pgMar w:top="1384" w:right="1800" w:bottom="1440" w:left="1800" w:header="851" w:footer="992" w:gutter="0"/>
          <w:pgNumType w:fmt="decimal"/>
          <w:cols w:space="720" w:num="1"/>
          <w:docGrid w:type="lines" w:linePitch="326" w:charSpace="14336"/>
        </w:sectPr>
      </w:pPr>
    </w:p>
    <w:p w14:paraId="506A05FD">
      <w:pPr>
        <w:ind w:firstLine="420"/>
        <w:rPr>
          <w:rFonts w:ascii="宋体"/>
          <w:color w:val="auto"/>
          <w:szCs w:val="24"/>
        </w:rPr>
      </w:pPr>
    </w:p>
    <w:p w14:paraId="0E74A53D">
      <w:pPr>
        <w:ind w:firstLine="420"/>
        <w:rPr>
          <w:rFonts w:ascii="宋体"/>
          <w:color w:val="auto"/>
          <w:szCs w:val="24"/>
        </w:rPr>
        <w:sectPr>
          <w:pgSz w:w="16838" w:h="11906" w:orient="landscape"/>
          <w:pgMar w:top="1800" w:right="1384" w:bottom="1800" w:left="1440" w:header="851" w:footer="992" w:gutter="0"/>
          <w:pgNumType w:fmt="decimal"/>
          <w:cols w:space="720" w:num="1"/>
          <w:docGrid w:type="lines" w:linePitch="326" w:charSpace="14336"/>
        </w:sectPr>
      </w:pPr>
    </w:p>
    <w:p w14:paraId="2BF3BEF9">
      <w:pPr>
        <w:pStyle w:val="45"/>
        <w:rPr>
          <w:rFonts w:hint="default"/>
          <w:color w:val="auto"/>
        </w:rPr>
      </w:pPr>
      <w:r>
        <w:rPr>
          <w:color w:val="auto"/>
        </w:rPr>
        <w:t>附件六：服务连续性预案</w:t>
      </w:r>
    </w:p>
    <w:p w14:paraId="40F21792">
      <w:pPr>
        <w:ind w:firstLine="420"/>
        <w:jc w:val="center"/>
        <w:rPr>
          <w:rFonts w:ascii="方正小标宋_GBK" w:eastAsia="方正小标宋_GBK"/>
          <w:color w:val="auto"/>
        </w:rPr>
      </w:pPr>
      <w:r>
        <w:rPr>
          <w:rFonts w:hint="eastAsia" w:ascii="方正小标宋_GBK" w:eastAsia="方正小标宋_GBK"/>
          <w:color w:val="auto"/>
        </w:rPr>
        <w:t>（应考虑供应链风险产生的影响）</w:t>
      </w:r>
    </w:p>
    <w:p w14:paraId="227F0FF6">
      <w:pPr>
        <w:ind w:firstLine="422"/>
        <w:rPr>
          <w:rFonts w:ascii="宋体"/>
          <w:b/>
          <w:color w:val="auto"/>
          <w:szCs w:val="24"/>
        </w:rPr>
      </w:pPr>
      <w:r>
        <w:rPr>
          <w:rFonts w:hint="eastAsia" w:ascii="宋体"/>
          <w:b/>
          <w:color w:val="auto"/>
          <w:szCs w:val="24"/>
        </w:rPr>
        <w:t>一、目的</w:t>
      </w:r>
    </w:p>
    <w:p w14:paraId="7F9414A0">
      <w:pPr>
        <w:ind w:firstLine="489" w:firstLineChars="233"/>
        <w:rPr>
          <w:color w:val="auto"/>
          <w:szCs w:val="24"/>
        </w:rPr>
      </w:pPr>
      <w:r>
        <w:rPr>
          <w:rFonts w:hint="eastAsia" w:ascii="宋体"/>
          <w:color w:val="auto"/>
          <w:szCs w:val="24"/>
        </w:rPr>
        <w:t>为保证甲方项目实施的及时性、连续性和稳定性，避免由于外包服务中断而引起项目中断、项目目标无法达成，故拟定本外包服务中断场景时的应急方案，作为突发外包服务中断事件时的服务恢复依据。</w:t>
      </w:r>
    </w:p>
    <w:p w14:paraId="6EE82A2B">
      <w:pPr>
        <w:ind w:firstLine="422"/>
        <w:rPr>
          <w:rFonts w:ascii="宋体"/>
          <w:b/>
          <w:color w:val="auto"/>
          <w:szCs w:val="24"/>
        </w:rPr>
      </w:pPr>
      <w:r>
        <w:rPr>
          <w:rFonts w:hint="eastAsia" w:ascii="宋体"/>
          <w:b/>
          <w:color w:val="auto"/>
          <w:szCs w:val="24"/>
        </w:rPr>
        <w:t>二、应急组织架构及职责</w:t>
      </w:r>
    </w:p>
    <w:p w14:paraId="5BA6B120">
      <w:pPr>
        <w:ind w:firstLine="422"/>
        <w:rPr>
          <w:rFonts w:ascii="宋体"/>
          <w:b/>
          <w:color w:val="auto"/>
          <w:szCs w:val="24"/>
        </w:rPr>
      </w:pPr>
      <w:r>
        <w:rPr>
          <w:rFonts w:hint="eastAsia" w:ascii="宋体"/>
          <w:b/>
          <w:color w:val="auto"/>
          <w:szCs w:val="24"/>
        </w:rPr>
        <w:t>（一）决策层</w:t>
      </w:r>
    </w:p>
    <w:tbl>
      <w:tblPr>
        <w:tblStyle w:val="19"/>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30"/>
        <w:gridCol w:w="1830"/>
        <w:gridCol w:w="4066"/>
      </w:tblGrid>
      <w:tr w14:paraId="4768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24E5FC0F">
            <w:pPr>
              <w:ind w:firstLine="489" w:firstLineChars="233"/>
              <w:rPr>
                <w:rFonts w:ascii="宋体"/>
                <w:color w:val="auto"/>
                <w:szCs w:val="24"/>
              </w:rPr>
            </w:pPr>
            <w:r>
              <w:rPr>
                <w:rFonts w:hint="eastAsia" w:ascii="宋体"/>
                <w:color w:val="auto"/>
                <w:szCs w:val="24"/>
              </w:rPr>
              <w:t>角色</w:t>
            </w:r>
          </w:p>
        </w:tc>
        <w:tc>
          <w:tcPr>
            <w:tcW w:w="1230" w:type="dxa"/>
            <w:tcBorders>
              <w:top w:val="single" w:color="auto" w:sz="4" w:space="0"/>
              <w:left w:val="nil"/>
              <w:bottom w:val="single" w:color="auto" w:sz="4" w:space="0"/>
              <w:right w:val="single" w:color="auto" w:sz="4" w:space="0"/>
              <w:tl2br w:val="nil"/>
              <w:tr2bl w:val="nil"/>
            </w:tcBorders>
            <w:shd w:val="clear" w:color="auto" w:fill="8DB3E2"/>
          </w:tcPr>
          <w:p w14:paraId="2603805A">
            <w:pPr>
              <w:ind w:firstLine="420"/>
              <w:jc w:val="center"/>
              <w:rPr>
                <w:rFonts w:ascii="宋体"/>
                <w:color w:val="auto"/>
                <w:szCs w:val="24"/>
              </w:rPr>
            </w:pPr>
            <w:r>
              <w:rPr>
                <w:rFonts w:hint="eastAsia" w:ascii="宋体"/>
                <w:color w:val="auto"/>
                <w:szCs w:val="24"/>
              </w:rPr>
              <w:t>姓名</w:t>
            </w:r>
          </w:p>
        </w:tc>
        <w:tc>
          <w:tcPr>
            <w:tcW w:w="1830" w:type="dxa"/>
            <w:tcBorders>
              <w:top w:val="single" w:color="auto" w:sz="4" w:space="0"/>
              <w:left w:val="nil"/>
              <w:bottom w:val="single" w:color="auto" w:sz="4" w:space="0"/>
              <w:right w:val="single" w:color="auto" w:sz="4" w:space="0"/>
              <w:tl2br w:val="nil"/>
              <w:tr2bl w:val="nil"/>
            </w:tcBorders>
            <w:shd w:val="clear" w:color="auto" w:fill="8DB3E2"/>
          </w:tcPr>
          <w:p w14:paraId="6F5FB94F">
            <w:pPr>
              <w:ind w:firstLine="420"/>
              <w:jc w:val="center"/>
              <w:rPr>
                <w:rFonts w:ascii="宋体"/>
                <w:color w:val="auto"/>
                <w:szCs w:val="24"/>
              </w:rPr>
            </w:pPr>
            <w:r>
              <w:rPr>
                <w:rFonts w:hint="eastAsia" w:ascii="宋体"/>
                <w:color w:val="auto"/>
                <w:szCs w:val="24"/>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465509E1">
            <w:pPr>
              <w:ind w:firstLine="420"/>
              <w:jc w:val="center"/>
              <w:rPr>
                <w:rFonts w:ascii="宋体"/>
                <w:color w:val="auto"/>
                <w:szCs w:val="24"/>
              </w:rPr>
            </w:pPr>
            <w:r>
              <w:rPr>
                <w:rFonts w:hint="eastAsia" w:ascii="宋体"/>
                <w:color w:val="auto"/>
                <w:szCs w:val="24"/>
              </w:rPr>
              <w:t>职责</w:t>
            </w:r>
          </w:p>
        </w:tc>
      </w:tr>
      <w:tr w14:paraId="6B9F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1B504533">
            <w:pPr>
              <w:widowControl/>
              <w:ind w:firstLine="420"/>
              <w:jc w:val="center"/>
              <w:rPr>
                <w:rFonts w:ascii="宋体"/>
                <w:color w:val="auto"/>
                <w:szCs w:val="24"/>
              </w:rPr>
            </w:pPr>
          </w:p>
        </w:tc>
        <w:tc>
          <w:tcPr>
            <w:tcW w:w="1230" w:type="dxa"/>
            <w:tcBorders>
              <w:top w:val="single" w:color="auto" w:sz="4" w:space="0"/>
              <w:left w:val="nil"/>
              <w:bottom w:val="single" w:color="auto" w:sz="4" w:space="0"/>
              <w:right w:val="single" w:color="auto" w:sz="4" w:space="0"/>
              <w:tl2br w:val="nil"/>
              <w:tr2bl w:val="nil"/>
            </w:tcBorders>
            <w:vAlign w:val="center"/>
          </w:tcPr>
          <w:p w14:paraId="717B79A2">
            <w:pPr>
              <w:widowControl/>
              <w:ind w:firstLine="420"/>
              <w:jc w:val="center"/>
              <w:rPr>
                <w:rFonts w:ascii="宋体"/>
                <w:color w:val="auto"/>
                <w:szCs w:val="24"/>
              </w:rPr>
            </w:pPr>
          </w:p>
        </w:tc>
        <w:tc>
          <w:tcPr>
            <w:tcW w:w="1830" w:type="dxa"/>
            <w:tcBorders>
              <w:top w:val="single" w:color="auto" w:sz="4" w:space="0"/>
              <w:left w:val="nil"/>
              <w:bottom w:val="single" w:color="auto" w:sz="4" w:space="0"/>
              <w:right w:val="single" w:color="auto" w:sz="4" w:space="0"/>
              <w:tl2br w:val="nil"/>
              <w:tr2bl w:val="nil"/>
            </w:tcBorders>
            <w:vAlign w:val="center"/>
          </w:tcPr>
          <w:p w14:paraId="28F64054">
            <w:pPr>
              <w:widowControl/>
              <w:ind w:firstLine="420"/>
              <w:jc w:val="center"/>
              <w:rPr>
                <w:rFonts w:ascii="宋体"/>
                <w:color w:val="auto"/>
                <w:szCs w:val="24"/>
              </w:rPr>
            </w:pPr>
          </w:p>
        </w:tc>
        <w:tc>
          <w:tcPr>
            <w:tcW w:w="4066" w:type="dxa"/>
            <w:tcBorders>
              <w:top w:val="single" w:color="auto" w:sz="4" w:space="0"/>
              <w:left w:val="nil"/>
              <w:bottom w:val="single" w:color="auto" w:sz="4" w:space="0"/>
              <w:right w:val="single" w:color="auto" w:sz="4" w:space="0"/>
              <w:tl2br w:val="nil"/>
              <w:tr2bl w:val="nil"/>
            </w:tcBorders>
          </w:tcPr>
          <w:p w14:paraId="0A0E8F64">
            <w:pPr>
              <w:widowControl/>
              <w:ind w:firstLine="420"/>
              <w:jc w:val="center"/>
              <w:rPr>
                <w:rFonts w:ascii="宋体"/>
                <w:color w:val="auto"/>
                <w:szCs w:val="24"/>
              </w:rPr>
            </w:pPr>
          </w:p>
        </w:tc>
      </w:tr>
      <w:tr w14:paraId="3175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656F336E">
            <w:pPr>
              <w:widowControl/>
              <w:ind w:firstLine="420"/>
              <w:jc w:val="center"/>
              <w:rPr>
                <w:rFonts w:ascii="宋体"/>
                <w:color w:val="auto"/>
                <w:szCs w:val="24"/>
              </w:rPr>
            </w:pPr>
          </w:p>
        </w:tc>
        <w:tc>
          <w:tcPr>
            <w:tcW w:w="1230" w:type="dxa"/>
            <w:tcBorders>
              <w:top w:val="single" w:color="auto" w:sz="4" w:space="0"/>
              <w:left w:val="nil"/>
              <w:bottom w:val="single" w:color="auto" w:sz="4" w:space="0"/>
              <w:right w:val="single" w:color="auto" w:sz="4" w:space="0"/>
              <w:tl2br w:val="nil"/>
              <w:tr2bl w:val="nil"/>
            </w:tcBorders>
            <w:vAlign w:val="center"/>
          </w:tcPr>
          <w:p w14:paraId="7614EC3B">
            <w:pPr>
              <w:widowControl/>
              <w:ind w:firstLine="420"/>
              <w:jc w:val="center"/>
              <w:rPr>
                <w:rFonts w:ascii="宋体"/>
                <w:color w:val="auto"/>
                <w:szCs w:val="24"/>
              </w:rPr>
            </w:pPr>
          </w:p>
        </w:tc>
        <w:tc>
          <w:tcPr>
            <w:tcW w:w="1830" w:type="dxa"/>
            <w:tcBorders>
              <w:top w:val="single" w:color="auto" w:sz="4" w:space="0"/>
              <w:left w:val="nil"/>
              <w:bottom w:val="single" w:color="auto" w:sz="4" w:space="0"/>
              <w:right w:val="single" w:color="auto" w:sz="4" w:space="0"/>
              <w:tl2br w:val="nil"/>
              <w:tr2bl w:val="nil"/>
            </w:tcBorders>
            <w:vAlign w:val="center"/>
          </w:tcPr>
          <w:p w14:paraId="1BB79B82">
            <w:pPr>
              <w:widowControl/>
              <w:ind w:firstLine="420"/>
              <w:jc w:val="center"/>
              <w:rPr>
                <w:rFonts w:ascii="宋体"/>
                <w:color w:val="auto"/>
                <w:szCs w:val="24"/>
              </w:rPr>
            </w:pPr>
          </w:p>
        </w:tc>
        <w:tc>
          <w:tcPr>
            <w:tcW w:w="4066" w:type="dxa"/>
            <w:tcBorders>
              <w:top w:val="single" w:color="auto" w:sz="4" w:space="0"/>
              <w:left w:val="nil"/>
              <w:bottom w:val="single" w:color="auto" w:sz="4" w:space="0"/>
              <w:right w:val="single" w:color="auto" w:sz="4" w:space="0"/>
              <w:tl2br w:val="nil"/>
              <w:tr2bl w:val="nil"/>
            </w:tcBorders>
          </w:tcPr>
          <w:p w14:paraId="6DD5784E">
            <w:pPr>
              <w:widowControl/>
              <w:ind w:firstLine="420"/>
              <w:jc w:val="center"/>
              <w:rPr>
                <w:rFonts w:ascii="宋体"/>
                <w:color w:val="auto"/>
                <w:szCs w:val="24"/>
              </w:rPr>
            </w:pPr>
          </w:p>
        </w:tc>
      </w:tr>
      <w:tr w14:paraId="664B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79C05B39">
            <w:pPr>
              <w:widowControl/>
              <w:ind w:firstLine="420"/>
              <w:jc w:val="center"/>
              <w:rPr>
                <w:rFonts w:ascii="宋体"/>
                <w:color w:val="auto"/>
                <w:szCs w:val="24"/>
              </w:rPr>
            </w:pPr>
          </w:p>
        </w:tc>
        <w:tc>
          <w:tcPr>
            <w:tcW w:w="1230" w:type="dxa"/>
            <w:tcBorders>
              <w:top w:val="single" w:color="auto" w:sz="4" w:space="0"/>
              <w:left w:val="nil"/>
              <w:bottom w:val="single" w:color="auto" w:sz="4" w:space="0"/>
              <w:right w:val="single" w:color="auto" w:sz="4" w:space="0"/>
              <w:tl2br w:val="nil"/>
              <w:tr2bl w:val="nil"/>
            </w:tcBorders>
            <w:vAlign w:val="center"/>
          </w:tcPr>
          <w:p w14:paraId="63788142">
            <w:pPr>
              <w:widowControl/>
              <w:ind w:firstLine="420"/>
              <w:jc w:val="center"/>
              <w:rPr>
                <w:rFonts w:ascii="宋体"/>
                <w:color w:val="auto"/>
                <w:szCs w:val="24"/>
              </w:rPr>
            </w:pPr>
          </w:p>
        </w:tc>
        <w:tc>
          <w:tcPr>
            <w:tcW w:w="1830" w:type="dxa"/>
            <w:tcBorders>
              <w:top w:val="single" w:color="auto" w:sz="4" w:space="0"/>
              <w:left w:val="nil"/>
              <w:bottom w:val="single" w:color="auto" w:sz="4" w:space="0"/>
              <w:right w:val="single" w:color="auto" w:sz="4" w:space="0"/>
              <w:tl2br w:val="nil"/>
              <w:tr2bl w:val="nil"/>
            </w:tcBorders>
            <w:vAlign w:val="center"/>
          </w:tcPr>
          <w:p w14:paraId="21039C04">
            <w:pPr>
              <w:widowControl/>
              <w:ind w:firstLine="420"/>
              <w:jc w:val="center"/>
              <w:rPr>
                <w:rFonts w:ascii="宋体"/>
                <w:color w:val="auto"/>
                <w:szCs w:val="24"/>
              </w:rPr>
            </w:pPr>
          </w:p>
        </w:tc>
        <w:tc>
          <w:tcPr>
            <w:tcW w:w="4066" w:type="dxa"/>
            <w:tcBorders>
              <w:top w:val="single" w:color="auto" w:sz="4" w:space="0"/>
              <w:left w:val="nil"/>
              <w:bottom w:val="single" w:color="auto" w:sz="4" w:space="0"/>
              <w:right w:val="single" w:color="auto" w:sz="4" w:space="0"/>
              <w:tl2br w:val="nil"/>
              <w:tr2bl w:val="nil"/>
            </w:tcBorders>
          </w:tcPr>
          <w:p w14:paraId="22851388">
            <w:pPr>
              <w:widowControl/>
              <w:ind w:firstLine="420"/>
              <w:jc w:val="center"/>
              <w:rPr>
                <w:rFonts w:ascii="宋体"/>
                <w:color w:val="auto"/>
                <w:szCs w:val="24"/>
              </w:rPr>
            </w:pPr>
          </w:p>
        </w:tc>
      </w:tr>
    </w:tbl>
    <w:p w14:paraId="673A8CED">
      <w:pPr>
        <w:ind w:firstLine="422"/>
        <w:rPr>
          <w:rFonts w:ascii="宋体"/>
          <w:b/>
          <w:color w:val="auto"/>
          <w:szCs w:val="24"/>
        </w:rPr>
      </w:pPr>
      <w:r>
        <w:rPr>
          <w:rFonts w:hint="eastAsia" w:ascii="宋体"/>
          <w:b/>
          <w:color w:val="auto"/>
          <w:szCs w:val="24"/>
        </w:rPr>
        <w:t>（二）危机处理层</w:t>
      </w:r>
    </w:p>
    <w:tbl>
      <w:tblPr>
        <w:tblStyle w:val="19"/>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215"/>
        <w:gridCol w:w="1845"/>
        <w:gridCol w:w="4067"/>
      </w:tblGrid>
      <w:tr w14:paraId="6366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4C3D403B">
            <w:pPr>
              <w:ind w:firstLine="489" w:firstLineChars="233"/>
              <w:rPr>
                <w:rFonts w:ascii="宋体"/>
                <w:color w:val="auto"/>
                <w:szCs w:val="24"/>
              </w:rPr>
            </w:pPr>
            <w:r>
              <w:rPr>
                <w:rFonts w:hint="eastAsia" w:ascii="宋体"/>
                <w:color w:val="auto"/>
                <w:szCs w:val="24"/>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64D5F2FE">
            <w:pPr>
              <w:ind w:firstLine="420"/>
              <w:jc w:val="center"/>
              <w:rPr>
                <w:rFonts w:ascii="宋体"/>
                <w:color w:val="auto"/>
                <w:szCs w:val="24"/>
              </w:rPr>
            </w:pPr>
            <w:r>
              <w:rPr>
                <w:rFonts w:hint="eastAsia" w:ascii="宋体"/>
                <w:color w:val="auto"/>
                <w:szCs w:val="24"/>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7ED7F920">
            <w:pPr>
              <w:ind w:firstLine="420"/>
              <w:jc w:val="center"/>
              <w:rPr>
                <w:rFonts w:ascii="宋体"/>
                <w:color w:val="auto"/>
                <w:szCs w:val="24"/>
              </w:rPr>
            </w:pPr>
            <w:r>
              <w:rPr>
                <w:rFonts w:hint="eastAsia" w:ascii="宋体"/>
                <w:color w:val="auto"/>
                <w:szCs w:val="24"/>
              </w:rPr>
              <w:t>联系方式</w:t>
            </w:r>
          </w:p>
        </w:tc>
        <w:tc>
          <w:tcPr>
            <w:tcW w:w="4067" w:type="dxa"/>
            <w:tcBorders>
              <w:top w:val="single" w:color="auto" w:sz="4" w:space="0"/>
              <w:left w:val="nil"/>
              <w:bottom w:val="single" w:color="auto" w:sz="4" w:space="0"/>
              <w:right w:val="single" w:color="auto" w:sz="4" w:space="0"/>
              <w:tl2br w:val="nil"/>
              <w:tr2bl w:val="nil"/>
            </w:tcBorders>
            <w:shd w:val="clear" w:color="auto" w:fill="8DB3E2"/>
          </w:tcPr>
          <w:p w14:paraId="3E7D2E52">
            <w:pPr>
              <w:ind w:firstLine="420"/>
              <w:jc w:val="center"/>
              <w:rPr>
                <w:rFonts w:ascii="宋体"/>
                <w:color w:val="auto"/>
                <w:szCs w:val="24"/>
              </w:rPr>
            </w:pPr>
            <w:r>
              <w:rPr>
                <w:rFonts w:hint="eastAsia" w:ascii="宋体"/>
                <w:color w:val="auto"/>
                <w:szCs w:val="24"/>
              </w:rPr>
              <w:t>职责</w:t>
            </w:r>
          </w:p>
        </w:tc>
      </w:tr>
      <w:tr w14:paraId="561F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7B44CC54">
            <w:pPr>
              <w:widowControl/>
              <w:ind w:firstLine="420"/>
              <w:jc w:val="center"/>
              <w:rPr>
                <w:rFonts w:ascii="宋体"/>
                <w:color w:val="auto"/>
                <w:szCs w:val="24"/>
              </w:rPr>
            </w:pPr>
          </w:p>
        </w:tc>
        <w:tc>
          <w:tcPr>
            <w:tcW w:w="1215" w:type="dxa"/>
            <w:tcBorders>
              <w:top w:val="single" w:color="auto" w:sz="4" w:space="0"/>
              <w:left w:val="nil"/>
              <w:bottom w:val="single" w:color="auto" w:sz="4" w:space="0"/>
              <w:right w:val="single" w:color="auto" w:sz="4" w:space="0"/>
              <w:tl2br w:val="nil"/>
              <w:tr2bl w:val="nil"/>
            </w:tcBorders>
            <w:vAlign w:val="center"/>
          </w:tcPr>
          <w:p w14:paraId="195FBDA9">
            <w:pPr>
              <w:widowControl/>
              <w:ind w:firstLine="420"/>
              <w:jc w:val="center"/>
              <w:rPr>
                <w:rFonts w:ascii="宋体"/>
                <w:color w:val="auto"/>
                <w:szCs w:val="24"/>
              </w:rPr>
            </w:pPr>
          </w:p>
        </w:tc>
        <w:tc>
          <w:tcPr>
            <w:tcW w:w="1845" w:type="dxa"/>
            <w:tcBorders>
              <w:top w:val="single" w:color="auto" w:sz="4" w:space="0"/>
              <w:left w:val="nil"/>
              <w:bottom w:val="single" w:color="auto" w:sz="4" w:space="0"/>
              <w:right w:val="single" w:color="auto" w:sz="4" w:space="0"/>
              <w:tl2br w:val="nil"/>
              <w:tr2bl w:val="nil"/>
            </w:tcBorders>
            <w:vAlign w:val="center"/>
          </w:tcPr>
          <w:p w14:paraId="08FBBBB6">
            <w:pPr>
              <w:widowControl/>
              <w:ind w:firstLine="420"/>
              <w:jc w:val="center"/>
              <w:rPr>
                <w:rFonts w:ascii="宋体"/>
                <w:color w:val="auto"/>
                <w:szCs w:val="24"/>
              </w:rPr>
            </w:pPr>
          </w:p>
        </w:tc>
        <w:tc>
          <w:tcPr>
            <w:tcW w:w="4067" w:type="dxa"/>
            <w:tcBorders>
              <w:top w:val="single" w:color="auto" w:sz="4" w:space="0"/>
              <w:left w:val="nil"/>
              <w:bottom w:val="single" w:color="auto" w:sz="4" w:space="0"/>
              <w:right w:val="single" w:color="auto" w:sz="4" w:space="0"/>
              <w:tl2br w:val="nil"/>
              <w:tr2bl w:val="nil"/>
            </w:tcBorders>
          </w:tcPr>
          <w:p w14:paraId="3C5CFB40">
            <w:pPr>
              <w:widowControl/>
              <w:ind w:firstLine="420"/>
              <w:jc w:val="center"/>
              <w:rPr>
                <w:rFonts w:ascii="宋体"/>
                <w:color w:val="auto"/>
                <w:szCs w:val="24"/>
              </w:rPr>
            </w:pPr>
          </w:p>
        </w:tc>
      </w:tr>
      <w:tr w14:paraId="3C08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166462FF">
            <w:pPr>
              <w:widowControl/>
              <w:ind w:firstLine="420"/>
              <w:jc w:val="center"/>
              <w:rPr>
                <w:rFonts w:ascii="宋体"/>
                <w:color w:val="auto"/>
                <w:szCs w:val="24"/>
              </w:rPr>
            </w:pPr>
          </w:p>
        </w:tc>
        <w:tc>
          <w:tcPr>
            <w:tcW w:w="1215" w:type="dxa"/>
            <w:tcBorders>
              <w:top w:val="single" w:color="auto" w:sz="4" w:space="0"/>
              <w:left w:val="nil"/>
              <w:bottom w:val="single" w:color="auto" w:sz="4" w:space="0"/>
              <w:right w:val="single" w:color="auto" w:sz="4" w:space="0"/>
              <w:tl2br w:val="nil"/>
              <w:tr2bl w:val="nil"/>
            </w:tcBorders>
            <w:vAlign w:val="center"/>
          </w:tcPr>
          <w:p w14:paraId="2436890F">
            <w:pPr>
              <w:widowControl/>
              <w:ind w:firstLine="420"/>
              <w:jc w:val="center"/>
              <w:rPr>
                <w:rFonts w:ascii="宋体"/>
                <w:color w:val="auto"/>
                <w:szCs w:val="24"/>
              </w:rPr>
            </w:pPr>
          </w:p>
        </w:tc>
        <w:tc>
          <w:tcPr>
            <w:tcW w:w="1845" w:type="dxa"/>
            <w:tcBorders>
              <w:top w:val="single" w:color="auto" w:sz="4" w:space="0"/>
              <w:left w:val="nil"/>
              <w:bottom w:val="single" w:color="auto" w:sz="4" w:space="0"/>
              <w:right w:val="single" w:color="auto" w:sz="4" w:space="0"/>
              <w:tl2br w:val="nil"/>
              <w:tr2bl w:val="nil"/>
            </w:tcBorders>
            <w:vAlign w:val="center"/>
          </w:tcPr>
          <w:p w14:paraId="5B34D5AC">
            <w:pPr>
              <w:widowControl/>
              <w:ind w:firstLine="420"/>
              <w:jc w:val="center"/>
              <w:rPr>
                <w:rFonts w:ascii="宋体"/>
                <w:color w:val="auto"/>
                <w:szCs w:val="24"/>
              </w:rPr>
            </w:pPr>
          </w:p>
        </w:tc>
        <w:tc>
          <w:tcPr>
            <w:tcW w:w="4067" w:type="dxa"/>
            <w:tcBorders>
              <w:top w:val="single" w:color="auto" w:sz="4" w:space="0"/>
              <w:left w:val="nil"/>
              <w:bottom w:val="single" w:color="auto" w:sz="4" w:space="0"/>
              <w:right w:val="single" w:color="auto" w:sz="4" w:space="0"/>
              <w:tl2br w:val="nil"/>
              <w:tr2bl w:val="nil"/>
            </w:tcBorders>
          </w:tcPr>
          <w:p w14:paraId="14F5FD6E">
            <w:pPr>
              <w:widowControl/>
              <w:ind w:firstLine="420"/>
              <w:jc w:val="center"/>
              <w:rPr>
                <w:rFonts w:ascii="宋体"/>
                <w:color w:val="auto"/>
                <w:szCs w:val="24"/>
              </w:rPr>
            </w:pPr>
          </w:p>
        </w:tc>
      </w:tr>
    </w:tbl>
    <w:p w14:paraId="1F955BBB">
      <w:pPr>
        <w:ind w:firstLine="422"/>
        <w:rPr>
          <w:rFonts w:ascii="宋体"/>
          <w:b/>
          <w:color w:val="auto"/>
          <w:szCs w:val="24"/>
        </w:rPr>
      </w:pPr>
      <w:r>
        <w:rPr>
          <w:rFonts w:hint="eastAsia" w:ascii="宋体"/>
          <w:b/>
          <w:color w:val="auto"/>
          <w:szCs w:val="24"/>
        </w:rPr>
        <w:t>（三）具体业务层</w:t>
      </w:r>
    </w:p>
    <w:tbl>
      <w:tblPr>
        <w:tblStyle w:val="19"/>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15"/>
        <w:gridCol w:w="1845"/>
        <w:gridCol w:w="4066"/>
      </w:tblGrid>
      <w:tr w14:paraId="31DD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3FECCFAD">
            <w:pPr>
              <w:ind w:firstLine="489" w:firstLineChars="233"/>
              <w:rPr>
                <w:rFonts w:ascii="宋体"/>
                <w:color w:val="auto"/>
                <w:szCs w:val="24"/>
              </w:rPr>
            </w:pPr>
            <w:r>
              <w:rPr>
                <w:rFonts w:hint="eastAsia" w:ascii="宋体"/>
                <w:color w:val="auto"/>
                <w:szCs w:val="24"/>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7AE80945">
            <w:pPr>
              <w:ind w:firstLine="420"/>
              <w:jc w:val="center"/>
              <w:rPr>
                <w:rFonts w:ascii="宋体"/>
                <w:color w:val="auto"/>
                <w:szCs w:val="24"/>
              </w:rPr>
            </w:pPr>
            <w:r>
              <w:rPr>
                <w:rFonts w:hint="eastAsia" w:ascii="宋体"/>
                <w:color w:val="auto"/>
                <w:szCs w:val="24"/>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32B88BB6">
            <w:pPr>
              <w:ind w:firstLine="420"/>
              <w:jc w:val="center"/>
              <w:rPr>
                <w:rFonts w:ascii="宋体"/>
                <w:color w:val="auto"/>
                <w:szCs w:val="24"/>
              </w:rPr>
            </w:pPr>
            <w:r>
              <w:rPr>
                <w:rFonts w:hint="eastAsia" w:ascii="宋体"/>
                <w:color w:val="auto"/>
                <w:szCs w:val="24"/>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6CD49177">
            <w:pPr>
              <w:ind w:firstLine="420"/>
              <w:jc w:val="center"/>
              <w:rPr>
                <w:rFonts w:ascii="宋体"/>
                <w:color w:val="auto"/>
                <w:szCs w:val="24"/>
              </w:rPr>
            </w:pPr>
            <w:r>
              <w:rPr>
                <w:rFonts w:hint="eastAsia" w:ascii="宋体"/>
                <w:color w:val="auto"/>
                <w:szCs w:val="24"/>
              </w:rPr>
              <w:t>职责</w:t>
            </w:r>
          </w:p>
        </w:tc>
      </w:tr>
      <w:tr w14:paraId="61B1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1A68C812">
            <w:pPr>
              <w:widowControl/>
              <w:ind w:firstLine="420"/>
              <w:jc w:val="center"/>
              <w:rPr>
                <w:rFonts w:ascii="宋体"/>
                <w:color w:val="auto"/>
                <w:szCs w:val="24"/>
              </w:rPr>
            </w:pPr>
          </w:p>
        </w:tc>
        <w:tc>
          <w:tcPr>
            <w:tcW w:w="1215" w:type="dxa"/>
            <w:tcBorders>
              <w:top w:val="single" w:color="auto" w:sz="4" w:space="0"/>
              <w:left w:val="nil"/>
              <w:bottom w:val="single" w:color="auto" w:sz="4" w:space="0"/>
              <w:right w:val="single" w:color="auto" w:sz="4" w:space="0"/>
              <w:tl2br w:val="nil"/>
              <w:tr2bl w:val="nil"/>
            </w:tcBorders>
            <w:vAlign w:val="center"/>
          </w:tcPr>
          <w:p w14:paraId="40D019A1">
            <w:pPr>
              <w:widowControl/>
              <w:ind w:firstLine="420"/>
              <w:jc w:val="center"/>
              <w:rPr>
                <w:rFonts w:ascii="宋体"/>
                <w:color w:val="auto"/>
                <w:szCs w:val="24"/>
              </w:rPr>
            </w:pPr>
          </w:p>
        </w:tc>
        <w:tc>
          <w:tcPr>
            <w:tcW w:w="1845" w:type="dxa"/>
            <w:tcBorders>
              <w:top w:val="single" w:color="auto" w:sz="4" w:space="0"/>
              <w:left w:val="nil"/>
              <w:bottom w:val="single" w:color="auto" w:sz="4" w:space="0"/>
              <w:right w:val="single" w:color="auto" w:sz="4" w:space="0"/>
              <w:tl2br w:val="nil"/>
              <w:tr2bl w:val="nil"/>
            </w:tcBorders>
            <w:vAlign w:val="center"/>
          </w:tcPr>
          <w:p w14:paraId="0A740D15">
            <w:pPr>
              <w:widowControl/>
              <w:ind w:firstLine="420"/>
              <w:rPr>
                <w:rFonts w:ascii="宋体"/>
                <w:color w:val="auto"/>
                <w:szCs w:val="24"/>
              </w:rPr>
            </w:pPr>
          </w:p>
        </w:tc>
        <w:tc>
          <w:tcPr>
            <w:tcW w:w="4066" w:type="dxa"/>
            <w:tcBorders>
              <w:top w:val="single" w:color="auto" w:sz="4" w:space="0"/>
              <w:left w:val="nil"/>
              <w:bottom w:val="single" w:color="auto" w:sz="4" w:space="0"/>
              <w:right w:val="single" w:color="auto" w:sz="4" w:space="0"/>
              <w:tl2br w:val="nil"/>
              <w:tr2bl w:val="nil"/>
            </w:tcBorders>
          </w:tcPr>
          <w:p w14:paraId="21269F12">
            <w:pPr>
              <w:widowControl/>
              <w:ind w:firstLine="420"/>
              <w:jc w:val="center"/>
              <w:rPr>
                <w:rFonts w:ascii="宋体"/>
                <w:color w:val="auto"/>
                <w:szCs w:val="24"/>
              </w:rPr>
            </w:pPr>
          </w:p>
        </w:tc>
      </w:tr>
      <w:tr w14:paraId="585A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65B5C228">
            <w:pPr>
              <w:widowControl/>
              <w:ind w:firstLine="420"/>
              <w:jc w:val="center"/>
              <w:rPr>
                <w:rFonts w:ascii="宋体"/>
                <w:color w:val="auto"/>
                <w:szCs w:val="24"/>
              </w:rPr>
            </w:pPr>
          </w:p>
        </w:tc>
        <w:tc>
          <w:tcPr>
            <w:tcW w:w="1215" w:type="dxa"/>
            <w:tcBorders>
              <w:top w:val="single" w:color="auto" w:sz="4" w:space="0"/>
              <w:left w:val="nil"/>
              <w:bottom w:val="single" w:color="auto" w:sz="4" w:space="0"/>
              <w:right w:val="single" w:color="auto" w:sz="4" w:space="0"/>
              <w:tl2br w:val="nil"/>
              <w:tr2bl w:val="nil"/>
            </w:tcBorders>
            <w:vAlign w:val="center"/>
          </w:tcPr>
          <w:p w14:paraId="08E66136">
            <w:pPr>
              <w:widowControl/>
              <w:ind w:firstLine="420"/>
              <w:jc w:val="center"/>
              <w:rPr>
                <w:rFonts w:ascii="宋体"/>
                <w:color w:val="auto"/>
                <w:szCs w:val="24"/>
              </w:rPr>
            </w:pPr>
          </w:p>
        </w:tc>
        <w:tc>
          <w:tcPr>
            <w:tcW w:w="1845" w:type="dxa"/>
            <w:tcBorders>
              <w:top w:val="single" w:color="auto" w:sz="4" w:space="0"/>
              <w:left w:val="nil"/>
              <w:bottom w:val="single" w:color="auto" w:sz="4" w:space="0"/>
              <w:right w:val="single" w:color="auto" w:sz="4" w:space="0"/>
              <w:tl2br w:val="nil"/>
              <w:tr2bl w:val="nil"/>
            </w:tcBorders>
            <w:vAlign w:val="center"/>
          </w:tcPr>
          <w:p w14:paraId="092BFE95">
            <w:pPr>
              <w:widowControl/>
              <w:ind w:firstLine="420"/>
              <w:rPr>
                <w:rFonts w:ascii="宋体"/>
                <w:color w:val="auto"/>
                <w:szCs w:val="24"/>
              </w:rPr>
            </w:pPr>
          </w:p>
        </w:tc>
        <w:tc>
          <w:tcPr>
            <w:tcW w:w="4066" w:type="dxa"/>
            <w:tcBorders>
              <w:top w:val="single" w:color="auto" w:sz="4" w:space="0"/>
              <w:left w:val="nil"/>
              <w:bottom w:val="single" w:color="auto" w:sz="4" w:space="0"/>
              <w:right w:val="single" w:color="auto" w:sz="4" w:space="0"/>
              <w:tl2br w:val="nil"/>
              <w:tr2bl w:val="nil"/>
            </w:tcBorders>
          </w:tcPr>
          <w:p w14:paraId="77D242D0">
            <w:pPr>
              <w:widowControl/>
              <w:ind w:firstLine="420"/>
              <w:jc w:val="center"/>
              <w:rPr>
                <w:rFonts w:ascii="宋体"/>
                <w:color w:val="auto"/>
                <w:szCs w:val="24"/>
              </w:rPr>
            </w:pPr>
          </w:p>
        </w:tc>
      </w:tr>
    </w:tbl>
    <w:p w14:paraId="13485A78">
      <w:pPr>
        <w:ind w:firstLine="422"/>
        <w:rPr>
          <w:rFonts w:ascii="宋体"/>
          <w:b/>
          <w:color w:val="auto"/>
          <w:szCs w:val="24"/>
        </w:rPr>
      </w:pPr>
      <w:r>
        <w:rPr>
          <w:rFonts w:hint="eastAsia" w:ascii="宋体"/>
          <w:b/>
          <w:color w:val="auto"/>
          <w:szCs w:val="24"/>
        </w:rPr>
        <w:t>（四）应急领导小组职责</w:t>
      </w:r>
    </w:p>
    <w:p w14:paraId="59C37A2B">
      <w:pPr>
        <w:ind w:firstLine="489" w:firstLineChars="233"/>
        <w:rPr>
          <w:rFonts w:ascii="宋体"/>
          <w:color w:val="auto"/>
          <w:szCs w:val="24"/>
        </w:rPr>
      </w:pPr>
      <w:r>
        <w:rPr>
          <w:rFonts w:hint="eastAsia" w:ascii="宋体"/>
          <w:color w:val="auto"/>
          <w:szCs w:val="24"/>
        </w:rPr>
        <w:t>1</w:t>
      </w:r>
      <w:r>
        <w:rPr>
          <w:rFonts w:ascii="宋体"/>
          <w:color w:val="auto"/>
          <w:szCs w:val="24"/>
        </w:rPr>
        <w:t>.</w:t>
      </w:r>
      <w:r>
        <w:rPr>
          <w:rFonts w:hint="eastAsia" w:ascii="宋体"/>
          <w:color w:val="auto"/>
          <w:szCs w:val="24"/>
        </w:rPr>
        <w:t>启动应急预案</w:t>
      </w:r>
    </w:p>
    <w:p w14:paraId="3B32B5E3">
      <w:pPr>
        <w:ind w:firstLine="489" w:firstLineChars="233"/>
        <w:rPr>
          <w:rFonts w:ascii="宋体"/>
          <w:color w:val="auto"/>
          <w:szCs w:val="24"/>
        </w:rPr>
      </w:pPr>
      <w:r>
        <w:rPr>
          <w:rFonts w:hint="eastAsia" w:ascii="宋体"/>
          <w:color w:val="auto"/>
          <w:szCs w:val="24"/>
        </w:rPr>
        <w:t>对突发事件进行处置，确保业务的持续性；对项目突发事件业务影响情况进行分析和评估；收集分析项目突发事件应急处置过程中的业务信息、数据、日志；向甲方报告应急处置进展情况和事态发展情况。</w:t>
      </w:r>
    </w:p>
    <w:p w14:paraId="23789F62">
      <w:pPr>
        <w:ind w:firstLine="489" w:firstLineChars="233"/>
        <w:rPr>
          <w:rFonts w:ascii="宋体"/>
          <w:color w:val="auto"/>
          <w:szCs w:val="24"/>
        </w:rPr>
      </w:pPr>
      <w:r>
        <w:rPr>
          <w:rFonts w:hint="eastAsia" w:ascii="宋体"/>
          <w:color w:val="auto"/>
          <w:szCs w:val="24"/>
        </w:rPr>
        <w:t>2</w:t>
      </w:r>
      <w:r>
        <w:rPr>
          <w:rFonts w:ascii="宋体"/>
          <w:color w:val="auto"/>
          <w:szCs w:val="24"/>
        </w:rPr>
        <w:t>.</w:t>
      </w:r>
      <w:r>
        <w:rPr>
          <w:rFonts w:hint="eastAsia" w:ascii="宋体"/>
          <w:color w:val="auto"/>
          <w:szCs w:val="24"/>
        </w:rPr>
        <w:t>应急事件处理</w:t>
      </w:r>
    </w:p>
    <w:p w14:paraId="658724E0">
      <w:pPr>
        <w:ind w:firstLine="489" w:firstLineChars="233"/>
        <w:rPr>
          <w:rFonts w:ascii="宋体"/>
          <w:color w:val="auto"/>
          <w:szCs w:val="24"/>
        </w:rPr>
      </w:pPr>
      <w:r>
        <w:rPr>
          <w:rFonts w:hint="eastAsia" w:ascii="宋体"/>
          <w:color w:val="auto"/>
          <w:szCs w:val="24"/>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14:paraId="0C9EA103">
      <w:pPr>
        <w:ind w:firstLine="489" w:firstLineChars="233"/>
        <w:rPr>
          <w:rFonts w:ascii="宋体"/>
          <w:color w:val="auto"/>
          <w:szCs w:val="24"/>
        </w:rPr>
      </w:pPr>
      <w:r>
        <w:rPr>
          <w:rFonts w:hint="eastAsia" w:ascii="宋体"/>
          <w:color w:val="auto"/>
          <w:szCs w:val="24"/>
        </w:rPr>
        <w:t>3</w:t>
      </w:r>
      <w:r>
        <w:rPr>
          <w:rFonts w:ascii="宋体"/>
          <w:color w:val="auto"/>
          <w:szCs w:val="24"/>
        </w:rPr>
        <w:t>.</w:t>
      </w:r>
      <w:r>
        <w:rPr>
          <w:rFonts w:hint="eastAsia" w:ascii="宋体"/>
          <w:color w:val="auto"/>
          <w:szCs w:val="24"/>
        </w:rPr>
        <w:t>业务持续性计划及应急预案优化</w:t>
      </w:r>
    </w:p>
    <w:p w14:paraId="3C939854">
      <w:pPr>
        <w:ind w:firstLine="489" w:firstLineChars="233"/>
        <w:rPr>
          <w:rFonts w:ascii="宋体"/>
          <w:color w:val="auto"/>
          <w:szCs w:val="24"/>
        </w:rPr>
      </w:pPr>
      <w:r>
        <w:rPr>
          <w:rFonts w:hint="eastAsia" w:ascii="宋体"/>
          <w:color w:val="auto"/>
          <w:szCs w:val="24"/>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14:paraId="054796C0">
      <w:pPr>
        <w:ind w:firstLine="422"/>
        <w:rPr>
          <w:rFonts w:ascii="宋体"/>
          <w:b/>
          <w:color w:val="auto"/>
          <w:szCs w:val="24"/>
        </w:rPr>
      </w:pPr>
      <w:r>
        <w:rPr>
          <w:rFonts w:hint="eastAsia" w:ascii="宋体"/>
          <w:b/>
          <w:color w:val="auto"/>
          <w:szCs w:val="24"/>
        </w:rPr>
        <w:t>三、应急场景</w:t>
      </w:r>
    </w:p>
    <w:p w14:paraId="266EFB20">
      <w:pPr>
        <w:ind w:firstLine="422"/>
        <w:rPr>
          <w:rFonts w:ascii="宋体"/>
          <w:b/>
          <w:color w:val="auto"/>
          <w:szCs w:val="24"/>
        </w:rPr>
      </w:pPr>
      <w:r>
        <w:rPr>
          <w:rFonts w:hint="eastAsia" w:ascii="宋体"/>
          <w:b/>
          <w:color w:val="auto"/>
          <w:szCs w:val="24"/>
        </w:rPr>
        <w:t>（一）单个核心成员或某个角色无法提供正常服务</w:t>
      </w:r>
    </w:p>
    <w:p w14:paraId="0AA4B705">
      <w:pPr>
        <w:ind w:firstLine="489" w:firstLineChars="233"/>
        <w:rPr>
          <w:rFonts w:ascii="宋体"/>
          <w:color w:val="auto"/>
          <w:szCs w:val="24"/>
        </w:rPr>
      </w:pPr>
      <w:r>
        <w:rPr>
          <w:rFonts w:hint="eastAsia" w:ascii="宋体"/>
          <w:color w:val="auto"/>
          <w:szCs w:val="24"/>
        </w:rPr>
        <w:t>1.影响程度：外包服务部分中断</w:t>
      </w:r>
    </w:p>
    <w:p w14:paraId="6C0DFDBA">
      <w:pPr>
        <w:ind w:firstLine="489" w:firstLineChars="233"/>
        <w:rPr>
          <w:rFonts w:ascii="宋体"/>
          <w:color w:val="auto"/>
          <w:szCs w:val="24"/>
        </w:rPr>
      </w:pPr>
      <w:r>
        <w:rPr>
          <w:rFonts w:hint="eastAsia" w:ascii="宋体"/>
          <w:color w:val="auto"/>
          <w:szCs w:val="24"/>
        </w:rPr>
        <w:t>2.规避措施：</w:t>
      </w:r>
    </w:p>
    <w:p w14:paraId="6FCBAA46">
      <w:pPr>
        <w:ind w:firstLine="489" w:firstLineChars="233"/>
        <w:rPr>
          <w:rFonts w:ascii="宋体"/>
          <w:color w:val="auto"/>
          <w:szCs w:val="24"/>
        </w:rPr>
      </w:pPr>
      <w:r>
        <w:rPr>
          <w:rFonts w:ascii="宋体"/>
          <w:color w:val="auto"/>
          <w:szCs w:val="24"/>
        </w:rPr>
        <w:t>1</w:t>
      </w:r>
      <w:r>
        <w:rPr>
          <w:rFonts w:hint="eastAsia" w:ascii="宋体"/>
          <w:color w:val="auto"/>
          <w:szCs w:val="24"/>
        </w:rPr>
        <w:t>）乙方在2小时内协调重庆本地高于该成员资历水平的的员工来甲方现场进行顶替，直到合适的补充人员入场能够接替该成员的工作为止，否则按照SLA第</w:t>
      </w:r>
      <w:r>
        <w:rPr>
          <w:rFonts w:ascii="宋体"/>
          <w:color w:val="auto"/>
          <w:szCs w:val="24"/>
        </w:rPr>
        <w:t>13</w:t>
      </w:r>
      <w:r>
        <w:rPr>
          <w:rFonts w:hint="eastAsia" w:ascii="宋体"/>
          <w:color w:val="auto"/>
          <w:szCs w:val="24"/>
        </w:rPr>
        <w:t>条更换人员的相关条款进行罚款。</w:t>
      </w:r>
    </w:p>
    <w:p w14:paraId="73503A3C">
      <w:pPr>
        <w:ind w:firstLine="489" w:firstLineChars="233"/>
        <w:rPr>
          <w:rFonts w:ascii="宋体"/>
          <w:color w:val="auto"/>
          <w:szCs w:val="24"/>
        </w:rPr>
      </w:pPr>
      <w:r>
        <w:rPr>
          <w:rFonts w:ascii="宋体"/>
          <w:color w:val="auto"/>
          <w:szCs w:val="24"/>
        </w:rPr>
        <w:t>2</w:t>
      </w:r>
      <w:r>
        <w:rPr>
          <w:rFonts w:hint="eastAsia" w:ascii="宋体"/>
          <w:color w:val="auto"/>
          <w:szCs w:val="24"/>
        </w:rPr>
        <w:t>）乙方服务团队在合同有效期内，建立人才储备机制和培训机制，同时由A角和B角对项目进行支持工作。</w:t>
      </w:r>
      <w:r>
        <w:rPr>
          <w:rFonts w:ascii="宋体"/>
          <w:color w:val="auto"/>
          <w:szCs w:val="24"/>
        </w:rPr>
        <w:t>因</w:t>
      </w:r>
      <w:r>
        <w:rPr>
          <w:rFonts w:hint="eastAsia" w:ascii="宋体"/>
          <w:color w:val="auto"/>
          <w:szCs w:val="24"/>
        </w:rPr>
        <w:t>乙方原因</w:t>
      </w:r>
      <w:r>
        <w:rPr>
          <w:rFonts w:ascii="宋体"/>
          <w:color w:val="auto"/>
          <w:szCs w:val="24"/>
        </w:rPr>
        <w:t>造成甲方损失的，乙方</w:t>
      </w:r>
      <w:r>
        <w:rPr>
          <w:rFonts w:hint="eastAsia" w:ascii="宋体"/>
          <w:color w:val="auto"/>
          <w:szCs w:val="24"/>
        </w:rPr>
        <w:t>按照SLA进行</w:t>
      </w:r>
      <w:r>
        <w:rPr>
          <w:rFonts w:ascii="宋体"/>
          <w:color w:val="auto"/>
          <w:szCs w:val="24"/>
        </w:rPr>
        <w:t>赔偿。</w:t>
      </w:r>
    </w:p>
    <w:p w14:paraId="67D704E8">
      <w:pPr>
        <w:ind w:firstLine="422"/>
        <w:rPr>
          <w:rFonts w:ascii="宋体"/>
          <w:b/>
          <w:color w:val="auto"/>
          <w:szCs w:val="24"/>
        </w:rPr>
      </w:pPr>
      <w:r>
        <w:rPr>
          <w:rFonts w:hint="eastAsia" w:ascii="宋体"/>
          <w:b/>
          <w:color w:val="auto"/>
          <w:szCs w:val="24"/>
        </w:rPr>
        <w:t>（二）乙方服务团队无法提供正常服务，但乙方仍具备履约能力</w:t>
      </w:r>
    </w:p>
    <w:p w14:paraId="3EE434E3">
      <w:pPr>
        <w:ind w:firstLine="489" w:firstLineChars="233"/>
        <w:rPr>
          <w:rFonts w:ascii="宋体"/>
          <w:color w:val="auto"/>
          <w:szCs w:val="24"/>
        </w:rPr>
      </w:pPr>
      <w:r>
        <w:rPr>
          <w:rFonts w:hint="eastAsia" w:ascii="宋体"/>
          <w:color w:val="auto"/>
          <w:szCs w:val="24"/>
        </w:rPr>
        <w:t>1.影响程度：外包服务完全中断</w:t>
      </w:r>
    </w:p>
    <w:p w14:paraId="53CDC4ED">
      <w:pPr>
        <w:ind w:firstLine="489" w:firstLineChars="233"/>
        <w:rPr>
          <w:rFonts w:ascii="宋体"/>
          <w:color w:val="auto"/>
          <w:szCs w:val="24"/>
        </w:rPr>
      </w:pPr>
      <w:r>
        <w:rPr>
          <w:rFonts w:hint="eastAsia" w:ascii="宋体"/>
          <w:color w:val="auto"/>
          <w:szCs w:val="24"/>
        </w:rPr>
        <w:t>2.规避措施：</w:t>
      </w:r>
    </w:p>
    <w:p w14:paraId="1808977C">
      <w:pPr>
        <w:ind w:firstLine="489" w:firstLineChars="233"/>
        <w:rPr>
          <w:rFonts w:ascii="宋体"/>
          <w:color w:val="auto"/>
          <w:szCs w:val="24"/>
        </w:rPr>
      </w:pPr>
      <w:r>
        <w:rPr>
          <w:rFonts w:hint="eastAsia" w:ascii="宋体"/>
          <w:color w:val="auto"/>
          <w:szCs w:val="24"/>
        </w:rPr>
        <w:t>1）乙方服务团队需按时按照甲方流程及制度规范提交项目各类文档；</w:t>
      </w:r>
    </w:p>
    <w:p w14:paraId="1CA82C4B">
      <w:pPr>
        <w:ind w:firstLine="489" w:firstLineChars="233"/>
        <w:rPr>
          <w:rFonts w:ascii="宋体"/>
          <w:color w:val="auto"/>
          <w:szCs w:val="24"/>
        </w:rPr>
      </w:pPr>
      <w:r>
        <w:rPr>
          <w:rFonts w:hint="eastAsia" w:ascii="宋体"/>
          <w:color w:val="auto"/>
          <w:szCs w:val="24"/>
        </w:rPr>
        <w:t>2）乙方服务团队需制定合理的培训计划和培训内容，加强知识转移；</w:t>
      </w:r>
    </w:p>
    <w:p w14:paraId="7AB7EE38">
      <w:pPr>
        <w:ind w:firstLine="489" w:firstLineChars="233"/>
        <w:rPr>
          <w:rFonts w:ascii="宋体"/>
          <w:color w:val="auto"/>
          <w:szCs w:val="24"/>
        </w:rPr>
      </w:pPr>
      <w:r>
        <w:rPr>
          <w:rFonts w:hint="eastAsia" w:ascii="宋体"/>
          <w:color w:val="auto"/>
          <w:szCs w:val="24"/>
        </w:rPr>
        <w:t>3）如遇类似事件乙方提前10个工作日书面通知甲方项目经理；</w:t>
      </w:r>
    </w:p>
    <w:p w14:paraId="7D3AC44A">
      <w:pPr>
        <w:ind w:firstLine="489" w:firstLineChars="233"/>
        <w:rPr>
          <w:rFonts w:ascii="宋体"/>
          <w:color w:val="auto"/>
          <w:szCs w:val="24"/>
        </w:rPr>
      </w:pPr>
      <w:r>
        <w:rPr>
          <w:rFonts w:ascii="宋体"/>
          <w:color w:val="auto"/>
          <w:szCs w:val="24"/>
        </w:rPr>
        <w:t>4</w:t>
      </w:r>
      <w:r>
        <w:rPr>
          <w:rFonts w:hint="eastAsia" w:ascii="宋体"/>
          <w:color w:val="auto"/>
          <w:szCs w:val="24"/>
        </w:rPr>
        <w:t>）乙方负责提前协调备用团队，并协调相应角色做好交接工作，协调方案经过甲方认可后，在10个工作日内将补充团队派驻入场，保障工作连续开展。</w:t>
      </w:r>
      <w:r>
        <w:rPr>
          <w:rFonts w:ascii="宋体"/>
          <w:color w:val="auto"/>
          <w:szCs w:val="24"/>
        </w:rPr>
        <w:t>因</w:t>
      </w:r>
      <w:r>
        <w:rPr>
          <w:rFonts w:hint="eastAsia" w:ascii="宋体"/>
          <w:color w:val="auto"/>
          <w:szCs w:val="24"/>
        </w:rPr>
        <w:t>乙方原因</w:t>
      </w:r>
      <w:r>
        <w:rPr>
          <w:rFonts w:ascii="宋体"/>
          <w:color w:val="auto"/>
          <w:szCs w:val="24"/>
        </w:rPr>
        <w:t>造成甲方损失的，乙方在双方协商后做出赔偿。</w:t>
      </w:r>
    </w:p>
    <w:p w14:paraId="52894517">
      <w:pPr>
        <w:ind w:firstLine="422"/>
        <w:rPr>
          <w:rFonts w:ascii="宋体"/>
          <w:b/>
          <w:color w:val="auto"/>
          <w:szCs w:val="24"/>
        </w:rPr>
      </w:pPr>
      <w:r>
        <w:rPr>
          <w:rFonts w:hint="eastAsia" w:ascii="宋体"/>
          <w:b/>
          <w:color w:val="auto"/>
          <w:szCs w:val="24"/>
        </w:rPr>
        <w:t>（三）乙方服务团队无法提供正常服务且乙方不具备恢复服务能力或意愿</w:t>
      </w:r>
    </w:p>
    <w:p w14:paraId="772C6715">
      <w:pPr>
        <w:ind w:firstLine="489" w:firstLineChars="233"/>
        <w:rPr>
          <w:rFonts w:ascii="宋体"/>
          <w:color w:val="auto"/>
          <w:szCs w:val="24"/>
        </w:rPr>
      </w:pPr>
      <w:r>
        <w:rPr>
          <w:rFonts w:hint="eastAsia" w:ascii="宋体"/>
          <w:color w:val="auto"/>
          <w:szCs w:val="24"/>
        </w:rPr>
        <w:t>1.影响程度：外包服务完全中断</w:t>
      </w:r>
    </w:p>
    <w:p w14:paraId="7D7B87C3">
      <w:pPr>
        <w:ind w:firstLine="489" w:firstLineChars="233"/>
        <w:rPr>
          <w:rFonts w:ascii="宋体"/>
          <w:color w:val="auto"/>
          <w:szCs w:val="24"/>
        </w:rPr>
      </w:pPr>
      <w:r>
        <w:rPr>
          <w:rFonts w:hint="eastAsia" w:ascii="宋体"/>
          <w:color w:val="auto"/>
          <w:szCs w:val="24"/>
        </w:rPr>
        <w:t>2.规避措施：</w:t>
      </w:r>
    </w:p>
    <w:p w14:paraId="07143CDA">
      <w:pPr>
        <w:ind w:firstLine="489" w:firstLineChars="233"/>
        <w:rPr>
          <w:rFonts w:ascii="宋体"/>
          <w:color w:val="auto"/>
          <w:szCs w:val="24"/>
        </w:rPr>
      </w:pPr>
      <w:r>
        <w:rPr>
          <w:rFonts w:hint="eastAsia" w:ascii="宋体"/>
          <w:color w:val="auto"/>
          <w:szCs w:val="24"/>
        </w:rPr>
        <w:t>1）如遇类似事件乙方提前15个工作日书面通知甲方项目经理；</w:t>
      </w:r>
    </w:p>
    <w:p w14:paraId="2E6F3829">
      <w:pPr>
        <w:ind w:firstLine="489" w:firstLineChars="233"/>
        <w:rPr>
          <w:rFonts w:ascii="宋体"/>
          <w:color w:val="auto"/>
          <w:szCs w:val="24"/>
        </w:rPr>
      </w:pPr>
      <w:r>
        <w:rPr>
          <w:rFonts w:ascii="宋体"/>
          <w:color w:val="auto"/>
          <w:szCs w:val="24"/>
        </w:rPr>
        <w:t>2</w:t>
      </w:r>
      <w:r>
        <w:rPr>
          <w:rFonts w:hint="eastAsia" w:ascii="宋体"/>
          <w:color w:val="auto"/>
          <w:szCs w:val="24"/>
        </w:rPr>
        <w:t>）乙方保证提前沟通协调人力资源，于10个工作日内提交所有阶段性项目文档，并完成甲方认可的所有工作交接和知识转移，包括不限于对替代供应商进行培训；</w:t>
      </w:r>
    </w:p>
    <w:p w14:paraId="7BCA42E0">
      <w:pPr>
        <w:ind w:firstLine="489" w:firstLineChars="233"/>
        <w:rPr>
          <w:rFonts w:ascii="宋体"/>
          <w:color w:val="auto"/>
          <w:szCs w:val="24"/>
        </w:rPr>
      </w:pPr>
      <w:r>
        <w:rPr>
          <w:rFonts w:ascii="宋体"/>
          <w:color w:val="auto"/>
          <w:szCs w:val="24"/>
        </w:rPr>
        <w:t>3</w:t>
      </w:r>
      <w:r>
        <w:rPr>
          <w:rFonts w:hint="eastAsia" w:ascii="宋体"/>
          <w:color w:val="auto"/>
          <w:szCs w:val="24"/>
        </w:rPr>
        <w:t>）允许推荐项目成员到与甲方合作良好的其他供应商任职或由甲方直接聘用。</w:t>
      </w:r>
      <w:r>
        <w:rPr>
          <w:rFonts w:ascii="宋体"/>
          <w:color w:val="auto"/>
          <w:szCs w:val="24"/>
        </w:rPr>
        <w:t>因</w:t>
      </w:r>
      <w:r>
        <w:rPr>
          <w:rFonts w:hint="eastAsia" w:ascii="宋体"/>
          <w:color w:val="auto"/>
          <w:szCs w:val="24"/>
        </w:rPr>
        <w:t>乙方原因</w:t>
      </w:r>
      <w:r>
        <w:rPr>
          <w:rFonts w:ascii="宋体"/>
          <w:color w:val="auto"/>
          <w:szCs w:val="24"/>
        </w:rPr>
        <w:t>造成甲方损失的，乙方在双方协商后做出赔偿</w:t>
      </w:r>
      <w:r>
        <w:rPr>
          <w:rFonts w:hint="eastAsia" w:ascii="宋体"/>
          <w:color w:val="auto"/>
          <w:szCs w:val="24"/>
        </w:rPr>
        <w:t>。</w:t>
      </w:r>
    </w:p>
    <w:p w14:paraId="19747E3E">
      <w:pPr>
        <w:ind w:firstLine="422"/>
        <w:rPr>
          <w:rFonts w:ascii="宋体"/>
          <w:b/>
          <w:color w:val="auto"/>
          <w:szCs w:val="24"/>
        </w:rPr>
      </w:pPr>
      <w:r>
        <w:rPr>
          <w:rFonts w:hint="eastAsia" w:ascii="宋体"/>
          <w:b/>
          <w:color w:val="auto"/>
          <w:szCs w:val="24"/>
        </w:rPr>
        <w:t>（四）乙方因资质变更、被收购、兼并或破产等原因致使其无法继续提供服务</w:t>
      </w:r>
    </w:p>
    <w:p w14:paraId="251BD589">
      <w:pPr>
        <w:ind w:firstLine="489" w:firstLineChars="233"/>
        <w:rPr>
          <w:rFonts w:ascii="宋体"/>
          <w:color w:val="auto"/>
          <w:szCs w:val="24"/>
        </w:rPr>
      </w:pPr>
      <w:r>
        <w:rPr>
          <w:rFonts w:hint="eastAsia" w:ascii="宋体"/>
          <w:color w:val="auto"/>
          <w:szCs w:val="24"/>
        </w:rPr>
        <w:t>1.影响程度：外包服务完全中断</w:t>
      </w:r>
    </w:p>
    <w:p w14:paraId="37DBA769">
      <w:pPr>
        <w:ind w:firstLine="489" w:firstLineChars="233"/>
        <w:rPr>
          <w:rFonts w:ascii="宋体"/>
          <w:color w:val="auto"/>
          <w:szCs w:val="24"/>
        </w:rPr>
      </w:pPr>
      <w:r>
        <w:rPr>
          <w:rFonts w:hint="eastAsia" w:ascii="宋体"/>
          <w:color w:val="auto"/>
          <w:szCs w:val="24"/>
        </w:rPr>
        <w:t>2.规避措施：</w:t>
      </w:r>
    </w:p>
    <w:p w14:paraId="00B23B4B">
      <w:pPr>
        <w:ind w:firstLine="489" w:firstLineChars="233"/>
        <w:rPr>
          <w:rFonts w:ascii="宋体"/>
          <w:color w:val="auto"/>
          <w:szCs w:val="24"/>
        </w:rPr>
      </w:pPr>
      <w:r>
        <w:rPr>
          <w:rFonts w:hint="eastAsia" w:ascii="宋体"/>
          <w:color w:val="auto"/>
          <w:szCs w:val="24"/>
        </w:rPr>
        <w:t>1）如遇类似事件乙方提前20个工作日通知甲方项目经理；</w:t>
      </w:r>
    </w:p>
    <w:p w14:paraId="50995F0C">
      <w:pPr>
        <w:ind w:firstLine="489" w:firstLineChars="233"/>
        <w:rPr>
          <w:rFonts w:ascii="宋体"/>
          <w:color w:val="auto"/>
          <w:szCs w:val="24"/>
        </w:rPr>
      </w:pPr>
      <w:r>
        <w:rPr>
          <w:rFonts w:ascii="宋体"/>
          <w:color w:val="auto"/>
          <w:szCs w:val="24"/>
        </w:rPr>
        <w:t>2</w:t>
      </w:r>
      <w:r>
        <w:rPr>
          <w:rFonts w:hint="eastAsia" w:ascii="宋体"/>
          <w:color w:val="auto"/>
          <w:szCs w:val="24"/>
        </w:rPr>
        <w:t>）根据开发合同约定提前与甲方进行沟通协商，做好代码、文档、服务等交接工作，减少对甲方的影响；</w:t>
      </w:r>
    </w:p>
    <w:p w14:paraId="26E02F0C">
      <w:pPr>
        <w:ind w:firstLine="489" w:firstLineChars="233"/>
        <w:rPr>
          <w:rFonts w:ascii="宋体"/>
          <w:color w:val="auto"/>
          <w:szCs w:val="24"/>
        </w:rPr>
      </w:pPr>
      <w:r>
        <w:rPr>
          <w:rFonts w:ascii="宋体"/>
          <w:color w:val="auto"/>
          <w:szCs w:val="24"/>
        </w:rPr>
        <w:t>3</w:t>
      </w:r>
      <w:r>
        <w:rPr>
          <w:rFonts w:hint="eastAsia" w:ascii="宋体"/>
          <w:color w:val="auto"/>
          <w:szCs w:val="24"/>
        </w:rPr>
        <w:t>）乙方保证提前沟通协调人力资源，于15个工作日内提交所有阶段性项目文档，并完成甲方认可的所有工作交接和知识转移，包括不限于对替代供应商进行培训。</w:t>
      </w:r>
      <w:r>
        <w:rPr>
          <w:rFonts w:ascii="宋体"/>
          <w:color w:val="auto"/>
          <w:szCs w:val="24"/>
        </w:rPr>
        <w:t>因</w:t>
      </w:r>
      <w:r>
        <w:rPr>
          <w:rFonts w:hint="eastAsia" w:ascii="宋体"/>
          <w:color w:val="auto"/>
          <w:szCs w:val="24"/>
        </w:rPr>
        <w:t>乙方原因</w:t>
      </w:r>
      <w:r>
        <w:rPr>
          <w:rFonts w:ascii="宋体"/>
          <w:color w:val="auto"/>
          <w:szCs w:val="24"/>
        </w:rPr>
        <w:t>造成甲方损失的，乙方在双方协商后做出赔偿</w:t>
      </w:r>
      <w:r>
        <w:rPr>
          <w:rFonts w:hint="eastAsia" w:ascii="宋体"/>
          <w:color w:val="auto"/>
          <w:szCs w:val="24"/>
        </w:rPr>
        <w:t>；</w:t>
      </w:r>
    </w:p>
    <w:p w14:paraId="01799C94">
      <w:pPr>
        <w:ind w:firstLine="489" w:firstLineChars="233"/>
        <w:rPr>
          <w:rFonts w:ascii="宋体"/>
          <w:color w:val="auto"/>
          <w:szCs w:val="24"/>
        </w:rPr>
      </w:pPr>
      <w:r>
        <w:rPr>
          <w:rFonts w:ascii="宋体"/>
          <w:color w:val="auto"/>
          <w:szCs w:val="24"/>
        </w:rPr>
        <w:t>4</w:t>
      </w:r>
      <w:r>
        <w:rPr>
          <w:rFonts w:hint="eastAsia" w:ascii="宋体"/>
          <w:color w:val="auto"/>
          <w:szCs w:val="24"/>
        </w:rPr>
        <w:t>）允许推荐项目成员到与甲方合作良好的其他供应商任职或由甲方直接聘用。</w:t>
      </w:r>
    </w:p>
    <w:p w14:paraId="31789C9A">
      <w:pPr>
        <w:ind w:firstLine="422"/>
        <w:rPr>
          <w:rFonts w:ascii="宋体"/>
          <w:b/>
          <w:color w:val="auto"/>
          <w:szCs w:val="24"/>
        </w:rPr>
      </w:pPr>
      <w:r>
        <w:rPr>
          <w:rFonts w:hint="eastAsia" w:ascii="宋体"/>
          <w:b/>
          <w:color w:val="auto"/>
          <w:szCs w:val="24"/>
        </w:rPr>
        <w:t>（五）乙方因不可抗力导致其主动退出（国家相关法律法规调整、遭受大规模自然灾害等）</w:t>
      </w:r>
    </w:p>
    <w:p w14:paraId="7B1C9AAE">
      <w:pPr>
        <w:ind w:firstLine="489" w:firstLineChars="233"/>
        <w:rPr>
          <w:rFonts w:ascii="宋体"/>
          <w:color w:val="auto"/>
          <w:szCs w:val="24"/>
        </w:rPr>
      </w:pPr>
      <w:r>
        <w:rPr>
          <w:rFonts w:hint="eastAsia" w:ascii="宋体"/>
          <w:color w:val="auto"/>
          <w:szCs w:val="24"/>
        </w:rPr>
        <w:t>1.影响程度：外包服务完全中断</w:t>
      </w:r>
    </w:p>
    <w:p w14:paraId="13670FA5">
      <w:pPr>
        <w:ind w:firstLine="489" w:firstLineChars="233"/>
        <w:rPr>
          <w:rFonts w:ascii="宋体"/>
          <w:color w:val="auto"/>
          <w:szCs w:val="24"/>
        </w:rPr>
      </w:pPr>
      <w:r>
        <w:rPr>
          <w:rFonts w:hint="eastAsia" w:ascii="宋体"/>
          <w:color w:val="auto"/>
          <w:szCs w:val="24"/>
        </w:rPr>
        <w:t>2.规避措施：</w:t>
      </w:r>
    </w:p>
    <w:p w14:paraId="73CFE390">
      <w:pPr>
        <w:ind w:firstLine="489" w:firstLineChars="233"/>
        <w:rPr>
          <w:rFonts w:ascii="宋体"/>
          <w:color w:val="auto"/>
          <w:szCs w:val="24"/>
        </w:rPr>
      </w:pPr>
      <w:r>
        <w:rPr>
          <w:rFonts w:hint="eastAsia" w:ascii="宋体"/>
          <w:color w:val="auto"/>
          <w:szCs w:val="24"/>
        </w:rPr>
        <w:t>1）如遇类似事件乙方应立即通知甲方项目经理。</w:t>
      </w:r>
    </w:p>
    <w:p w14:paraId="0959F51D">
      <w:pPr>
        <w:ind w:firstLine="489" w:firstLineChars="233"/>
        <w:rPr>
          <w:rFonts w:ascii="宋体"/>
          <w:color w:val="auto"/>
          <w:szCs w:val="24"/>
        </w:rPr>
      </w:pPr>
      <w:r>
        <w:rPr>
          <w:rFonts w:ascii="宋体"/>
          <w:color w:val="auto"/>
          <w:szCs w:val="24"/>
        </w:rPr>
        <w:t>2</w:t>
      </w:r>
      <w:r>
        <w:rPr>
          <w:rFonts w:hint="eastAsia" w:ascii="宋体"/>
          <w:color w:val="auto"/>
          <w:szCs w:val="24"/>
        </w:rPr>
        <w:t>）乙方与甲方及时进行协商，得出一致性解决方案，于15个工作日内提交所有阶段性项目文档，并完成甲方认可的所有工作交接和知识转移，降低突发事件的影响；</w:t>
      </w:r>
    </w:p>
    <w:p w14:paraId="5B1D1F4B">
      <w:pPr>
        <w:ind w:firstLine="489" w:firstLineChars="233"/>
        <w:rPr>
          <w:rFonts w:ascii="宋体"/>
          <w:color w:val="auto"/>
          <w:szCs w:val="24"/>
        </w:rPr>
      </w:pPr>
      <w:r>
        <w:rPr>
          <w:rFonts w:ascii="宋体"/>
          <w:color w:val="auto"/>
          <w:szCs w:val="24"/>
        </w:rPr>
        <w:t>3</w:t>
      </w:r>
      <w:r>
        <w:rPr>
          <w:rFonts w:hint="eastAsia" w:ascii="宋体"/>
          <w:color w:val="auto"/>
          <w:szCs w:val="24"/>
        </w:rPr>
        <w:t>）允许推荐项目成员到与甲方合作良好的其他供应商任职或由甲方直接聘用。</w:t>
      </w:r>
      <w:r>
        <w:rPr>
          <w:rFonts w:ascii="宋体"/>
          <w:color w:val="auto"/>
          <w:szCs w:val="24"/>
        </w:rPr>
        <w:t>因</w:t>
      </w:r>
      <w:r>
        <w:rPr>
          <w:rFonts w:hint="eastAsia" w:ascii="宋体"/>
          <w:color w:val="auto"/>
          <w:szCs w:val="24"/>
        </w:rPr>
        <w:t>乙方原因</w:t>
      </w:r>
      <w:r>
        <w:rPr>
          <w:rFonts w:ascii="宋体"/>
          <w:color w:val="auto"/>
          <w:szCs w:val="24"/>
        </w:rPr>
        <w:t>造成甲方损失的，乙方在双方协商后做出赔偿。</w:t>
      </w:r>
    </w:p>
    <w:p w14:paraId="07465E36">
      <w:pPr>
        <w:ind w:firstLine="422"/>
        <w:rPr>
          <w:rFonts w:ascii="宋体"/>
          <w:color w:val="auto"/>
          <w:szCs w:val="24"/>
        </w:rPr>
      </w:pPr>
      <w:r>
        <w:rPr>
          <w:rFonts w:hint="eastAsia" w:ascii="宋体"/>
          <w:b/>
          <w:color w:val="auto"/>
          <w:szCs w:val="24"/>
        </w:rPr>
        <w:t>四、应急处理阶段</w:t>
      </w:r>
    </w:p>
    <w:p w14:paraId="3198E88D">
      <w:pPr>
        <w:ind w:firstLine="422"/>
        <w:rPr>
          <w:rFonts w:ascii="宋体"/>
          <w:b/>
          <w:color w:val="auto"/>
          <w:szCs w:val="24"/>
        </w:rPr>
      </w:pPr>
      <w:r>
        <w:rPr>
          <w:rFonts w:hint="eastAsia" w:ascii="宋体"/>
          <w:b/>
          <w:color w:val="auto"/>
          <w:szCs w:val="24"/>
        </w:rPr>
        <w:t>（一）项目实施过程中应急服务</w:t>
      </w:r>
    </w:p>
    <w:p w14:paraId="521E4622">
      <w:pPr>
        <w:ind w:firstLine="489" w:firstLineChars="233"/>
        <w:rPr>
          <w:rFonts w:ascii="宋体"/>
          <w:color w:val="auto"/>
          <w:szCs w:val="24"/>
        </w:rPr>
      </w:pPr>
      <w:r>
        <w:rPr>
          <w:rFonts w:hint="eastAsia" w:ascii="宋体"/>
          <w:color w:val="auto"/>
          <w:szCs w:val="24"/>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14:paraId="6E75692E">
      <w:pPr>
        <w:ind w:firstLine="489" w:firstLineChars="233"/>
        <w:rPr>
          <w:rFonts w:ascii="宋体"/>
          <w:color w:val="auto"/>
          <w:szCs w:val="24"/>
        </w:rPr>
      </w:pPr>
      <w:r>
        <w:rPr>
          <w:rFonts w:hint="eastAsia" w:ascii="宋体"/>
          <w:color w:val="auto"/>
          <w:szCs w:val="24"/>
        </w:rPr>
        <w:t>在应急事件处理完毕后，由乙方应急小组</w:t>
      </w:r>
      <w:r>
        <w:rPr>
          <w:rFonts w:ascii="宋体"/>
          <w:color w:val="auto"/>
          <w:szCs w:val="24"/>
        </w:rPr>
        <w:t>对事件发生原因、性质、影响、后果、责任及应急处置能力、恢复重建等问题进行全面调查评估，总结经验教训，完善应急处理预案，整改</w:t>
      </w:r>
      <w:r>
        <w:rPr>
          <w:rFonts w:hint="eastAsia" w:ascii="宋体"/>
          <w:color w:val="auto"/>
          <w:szCs w:val="24"/>
        </w:rPr>
        <w:t>项目服务过程中</w:t>
      </w:r>
      <w:r>
        <w:rPr>
          <w:rFonts w:ascii="宋体"/>
          <w:color w:val="auto"/>
          <w:szCs w:val="24"/>
        </w:rPr>
        <w:t>存在的隐患</w:t>
      </w:r>
      <w:r>
        <w:rPr>
          <w:rFonts w:hint="eastAsia" w:ascii="宋体"/>
          <w:color w:val="auto"/>
          <w:szCs w:val="24"/>
        </w:rPr>
        <w:t>问题</w:t>
      </w:r>
      <w:r>
        <w:rPr>
          <w:rFonts w:ascii="宋体"/>
          <w:color w:val="auto"/>
          <w:szCs w:val="24"/>
        </w:rPr>
        <w:t>。</w:t>
      </w:r>
    </w:p>
    <w:p w14:paraId="2950F9F5">
      <w:pPr>
        <w:ind w:firstLine="422"/>
        <w:rPr>
          <w:rFonts w:ascii="宋体"/>
          <w:b/>
          <w:color w:val="auto"/>
          <w:szCs w:val="24"/>
        </w:rPr>
      </w:pPr>
      <w:r>
        <w:rPr>
          <w:rFonts w:hint="eastAsia" w:ascii="宋体"/>
          <w:b/>
          <w:color w:val="auto"/>
          <w:szCs w:val="24"/>
        </w:rPr>
        <w:t>（二）系统上线后应急服务</w:t>
      </w:r>
    </w:p>
    <w:p w14:paraId="2291E361">
      <w:pPr>
        <w:ind w:firstLine="489" w:firstLineChars="233"/>
        <w:rPr>
          <w:rFonts w:ascii="宋体"/>
          <w:color w:val="auto"/>
          <w:szCs w:val="24"/>
        </w:rPr>
      </w:pPr>
      <w:r>
        <w:rPr>
          <w:rFonts w:hint="eastAsia" w:ascii="宋体"/>
          <w:color w:val="auto"/>
          <w:szCs w:val="24"/>
        </w:rPr>
        <w:t>甲方可以通过拨打乙方服务团队技术支持热线电话或发送邮件的方式，向乙方专业技术人员咨询应用系统的有关问题、报告故障信息、获得排除系统运行故障的方法或指导。乙方开发人员及联系方式如下：</w:t>
      </w:r>
    </w:p>
    <w:p w14:paraId="51CCBCA1">
      <w:pPr>
        <w:ind w:firstLine="489" w:firstLineChars="233"/>
        <w:rPr>
          <w:rFonts w:ascii="宋体"/>
          <w:color w:val="auto"/>
          <w:szCs w:val="24"/>
        </w:rPr>
      </w:pPr>
      <w:r>
        <w:rPr>
          <w:rFonts w:hint="eastAsia" w:ascii="宋体"/>
          <w:color w:val="auto"/>
          <w:szCs w:val="24"/>
        </w:rPr>
        <w:t>姓名:        手机号码：        邮箱：</w:t>
      </w:r>
    </w:p>
    <w:p w14:paraId="366D55C3">
      <w:pPr>
        <w:ind w:firstLine="489" w:firstLineChars="233"/>
        <w:rPr>
          <w:rFonts w:ascii="宋体"/>
          <w:color w:val="auto"/>
          <w:szCs w:val="24"/>
        </w:rPr>
      </w:pPr>
      <w:r>
        <w:rPr>
          <w:rFonts w:hint="eastAsia" w:ascii="宋体"/>
          <w:color w:val="auto"/>
          <w:szCs w:val="24"/>
        </w:rPr>
        <w:t>姓名:        手机号码：        邮箱：</w:t>
      </w:r>
    </w:p>
    <w:p w14:paraId="1B7FFB8D">
      <w:pPr>
        <w:ind w:firstLine="480" w:firstLineChars="0"/>
        <w:rPr>
          <w:color w:val="auto"/>
          <w:kern w:val="0"/>
          <w:szCs w:val="24"/>
        </w:rPr>
      </w:pPr>
    </w:p>
    <w:p w14:paraId="17E1FE4E">
      <w:pPr>
        <w:ind w:firstLine="420"/>
        <w:rPr>
          <w:rStyle w:val="60"/>
          <w:rFonts w:hint="eastAsia" w:ascii="宋体" w:hAnsi="宋体"/>
          <w:color w:val="auto"/>
          <w:kern w:val="0"/>
        </w:rPr>
      </w:pPr>
      <w:r>
        <w:rPr>
          <w:rStyle w:val="60"/>
          <w:rFonts w:ascii="宋体"/>
          <w:color w:val="auto"/>
          <w:kern w:val="0"/>
        </w:rPr>
        <w:br w:type="page"/>
      </w:r>
    </w:p>
    <w:p w14:paraId="4FE6BF6C">
      <w:pPr>
        <w:pStyle w:val="2"/>
        <w:rPr>
          <w:color w:val="auto"/>
        </w:rPr>
      </w:pPr>
      <w:bookmarkStart w:id="983" w:name="_Toc18020"/>
      <w:bookmarkStart w:id="984" w:name="_Toc25076"/>
      <w:bookmarkStart w:id="985" w:name="_Toc23903"/>
      <w:bookmarkStart w:id="986" w:name="_Toc27434"/>
      <w:bookmarkStart w:id="987" w:name="_Toc10091"/>
      <w:bookmarkStart w:id="988" w:name="_Toc9051"/>
      <w:bookmarkStart w:id="989" w:name="_Toc10011"/>
      <w:bookmarkStart w:id="990" w:name="_Toc513"/>
      <w:bookmarkStart w:id="991" w:name="_Toc15154"/>
      <w:bookmarkStart w:id="992" w:name="_Toc31343"/>
      <w:bookmarkStart w:id="993" w:name="_Toc18950"/>
      <w:bookmarkStart w:id="994" w:name="_Toc8317"/>
      <w:bookmarkStart w:id="995" w:name="_Toc9722"/>
      <w:bookmarkStart w:id="996" w:name="_Toc12076"/>
      <w:bookmarkStart w:id="997" w:name="_Toc24088"/>
      <w:bookmarkStart w:id="998" w:name="_Toc27084"/>
      <w:bookmarkStart w:id="999" w:name="_Toc24077"/>
      <w:bookmarkStart w:id="1000" w:name="_Toc24372"/>
      <w:bookmarkStart w:id="1001" w:name="_Toc21372"/>
      <w:bookmarkStart w:id="1002" w:name="_Toc25093"/>
      <w:bookmarkStart w:id="1003" w:name="_Toc2226"/>
      <w:bookmarkStart w:id="1004" w:name="_Toc12417"/>
      <w:bookmarkStart w:id="1005" w:name="_Toc6639"/>
      <w:r>
        <w:rPr>
          <w:rFonts w:hint="eastAsia"/>
          <w:color w:val="auto"/>
        </w:rPr>
        <w:t>第五章</w:t>
      </w:r>
      <w:bookmarkEnd w:id="930"/>
      <w:bookmarkStart w:id="1006" w:name="_Toc5687"/>
      <w:r>
        <w:rPr>
          <w:rFonts w:hint="eastAsia"/>
          <w:color w:val="auto"/>
        </w:rPr>
        <w:t xml:space="preserve"> 项目</w:t>
      </w:r>
      <w:r>
        <w:rPr>
          <w:color w:val="auto"/>
        </w:rPr>
        <w:t>要求</w:t>
      </w:r>
      <w:bookmarkEnd w:id="931"/>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14:paraId="30C3D34A">
      <w:pPr>
        <w:pStyle w:val="3"/>
        <w:rPr>
          <w:color w:val="auto"/>
        </w:rPr>
      </w:pPr>
      <w:bookmarkStart w:id="1007" w:name="_Toc57820646"/>
      <w:bookmarkStart w:id="1008" w:name="_Toc32646"/>
      <w:bookmarkStart w:id="1009" w:name="_Toc509218852"/>
      <w:bookmarkStart w:id="1010" w:name="_Toc430530528"/>
      <w:bookmarkStart w:id="1011" w:name="_Toc6982"/>
      <w:bookmarkStart w:id="1012" w:name="_Toc18907"/>
      <w:bookmarkStart w:id="1013" w:name="_Toc534185829"/>
      <w:bookmarkStart w:id="1014" w:name="_Toc287607856"/>
      <w:bookmarkStart w:id="1015" w:name="_Toc224103477"/>
      <w:bookmarkStart w:id="1016" w:name="_Toc277082638"/>
      <w:bookmarkStart w:id="1017" w:name="_Toc287620798"/>
      <w:bookmarkStart w:id="1018" w:name="_Toc430530514"/>
      <w:r>
        <w:rPr>
          <w:color w:val="auto"/>
        </w:rPr>
        <w:t>1.</w:t>
      </w:r>
      <w:r>
        <w:rPr>
          <w:rFonts w:hint="eastAsia"/>
          <w:color w:val="auto"/>
        </w:rPr>
        <w:t>业务需求</w:t>
      </w:r>
    </w:p>
    <w:p w14:paraId="638D977F">
      <w:pPr>
        <w:ind w:firstLine="420"/>
        <w:rPr>
          <w:color w:val="auto"/>
        </w:rPr>
      </w:pPr>
      <w:r>
        <w:rPr>
          <w:rFonts w:hint="eastAsia"/>
          <w:color w:val="auto"/>
        </w:rPr>
        <w:t>第二代移动作业管理系统将采用全新系统架构，成为集移动审批、移动柜面、移动信贷等本行生产域统一对外受理客户业务的移动化平台，根据不同业务场景，实现将移动业务需求统一规划，实现集中一次开发，平板（安卓+鸿蒙），手机端（安卓+鸿蒙），小程序和</w:t>
      </w:r>
      <w:r>
        <w:rPr>
          <w:color w:val="auto"/>
        </w:rPr>
        <w:t>H5</w:t>
      </w:r>
      <w:r>
        <w:rPr>
          <w:rFonts w:hint="eastAsia"/>
          <w:color w:val="auto"/>
        </w:rPr>
        <w:t>网页多渠道协同的目标。本项目重点需求在于建设统一的移动作业平台，打好基础，以移动柜面对公和对私业务建设为主体内容，优先完成移动作业平台上线运行，同时将现有的移动信贷、数智厅堂等业务模块迁移至第二代移动作业管理系统。在未来的移动作业应用不断发展和创新的进程中，将以此平台为基础，构建多应用统一标准，规范业务流程的移动作业平台。</w:t>
      </w:r>
    </w:p>
    <w:p w14:paraId="49F9C644">
      <w:pPr>
        <w:pStyle w:val="4"/>
        <w:ind w:firstLine="422"/>
        <w:rPr>
          <w:color w:val="auto"/>
        </w:rPr>
      </w:pPr>
      <w:r>
        <w:rPr>
          <w:color w:val="auto"/>
        </w:rPr>
        <w:t xml:space="preserve">1.1 </w:t>
      </w:r>
      <w:r>
        <w:rPr>
          <w:rFonts w:hint="eastAsia"/>
          <w:color w:val="auto"/>
        </w:rPr>
        <w:t>移动柜面功能需求概述</w:t>
      </w:r>
    </w:p>
    <w:p w14:paraId="0E380476">
      <w:pPr>
        <w:snapToGrid w:val="0"/>
        <w:ind w:firstLine="420"/>
        <w:jc w:val="left"/>
        <w:rPr>
          <w:rFonts w:cs="Times New Roman"/>
          <w:color w:val="auto"/>
          <w:szCs w:val="24"/>
        </w:rPr>
      </w:pPr>
      <w:r>
        <w:rPr>
          <w:rFonts w:hint="eastAsia" w:cs="Times New Roman"/>
          <w:color w:val="auto"/>
          <w:szCs w:val="24"/>
        </w:rPr>
        <w:t>移动柜面主要应用在平板端，主要包括个人业务和对公业务，主要实现在平板端，各个业务模块功能概述如下：</w:t>
      </w:r>
    </w:p>
    <w:tbl>
      <w:tblPr>
        <w:tblStyle w:val="19"/>
        <w:tblW w:w="0" w:type="auto"/>
        <w:tblInd w:w="108" w:type="dxa"/>
        <w:tblLayout w:type="autofit"/>
        <w:tblCellMar>
          <w:top w:w="0" w:type="dxa"/>
          <w:left w:w="108" w:type="dxa"/>
          <w:bottom w:w="0" w:type="dxa"/>
          <w:right w:w="108" w:type="dxa"/>
        </w:tblCellMar>
      </w:tblPr>
      <w:tblGrid>
        <w:gridCol w:w="1605"/>
        <w:gridCol w:w="3120"/>
        <w:gridCol w:w="3330"/>
      </w:tblGrid>
      <w:tr w14:paraId="3DCBE8ED">
        <w:tblPrEx>
          <w:tblCellMar>
            <w:top w:w="0" w:type="dxa"/>
            <w:left w:w="108" w:type="dxa"/>
            <w:bottom w:w="0" w:type="dxa"/>
            <w:right w:w="108" w:type="dxa"/>
          </w:tblCellMar>
        </w:tblPrEx>
        <w:trPr>
          <w:trHeight w:val="28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0FC99C">
            <w:pPr>
              <w:pStyle w:val="44"/>
              <w:rPr>
                <w:color w:val="auto"/>
              </w:rPr>
            </w:pPr>
            <w:r>
              <w:rPr>
                <w:rFonts w:hint="eastAsia"/>
                <w:color w:val="auto"/>
              </w:rPr>
              <w:t>业务模块</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B6159F">
            <w:pPr>
              <w:pStyle w:val="44"/>
              <w:rPr>
                <w:color w:val="auto"/>
              </w:rPr>
            </w:pPr>
            <w:r>
              <w:rPr>
                <w:rFonts w:hint="eastAsia"/>
                <w:color w:val="auto"/>
              </w:rPr>
              <w:t>业务功能</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687E8E">
            <w:pPr>
              <w:pStyle w:val="44"/>
              <w:rPr>
                <w:color w:val="auto"/>
              </w:rPr>
            </w:pPr>
            <w:r>
              <w:rPr>
                <w:rFonts w:hint="eastAsia"/>
                <w:color w:val="auto"/>
              </w:rPr>
              <w:t>业务功能简述</w:t>
            </w:r>
          </w:p>
        </w:tc>
      </w:tr>
      <w:tr w14:paraId="7E99ED10">
        <w:tblPrEx>
          <w:tblCellMar>
            <w:top w:w="0" w:type="dxa"/>
            <w:left w:w="108" w:type="dxa"/>
            <w:bottom w:w="0" w:type="dxa"/>
            <w:right w:w="108" w:type="dxa"/>
          </w:tblCellMar>
        </w:tblPrEx>
        <w:trPr>
          <w:trHeight w:val="1034" w:hRule="atLeast"/>
        </w:trPr>
        <w:tc>
          <w:tcPr>
            <w:tcW w:w="1605" w:type="dxa"/>
            <w:vMerge w:val="restart"/>
            <w:tcBorders>
              <w:top w:val="single" w:color="000000" w:sz="6" w:space="0"/>
              <w:left w:val="single" w:color="000000" w:sz="6" w:space="0"/>
              <w:bottom w:val="nil"/>
              <w:right w:val="single" w:color="000000" w:sz="6" w:space="0"/>
              <w:tl2br w:val="nil"/>
              <w:tr2bl w:val="nil"/>
            </w:tcBorders>
            <w:noWrap/>
            <w:vAlign w:val="center"/>
          </w:tcPr>
          <w:p w14:paraId="52B38FAF">
            <w:pPr>
              <w:pStyle w:val="54"/>
              <w:rPr>
                <w:rFonts w:hint="default"/>
                <w:color w:val="auto"/>
              </w:rPr>
            </w:pPr>
            <w:r>
              <w:rPr>
                <w:color w:val="auto"/>
              </w:rPr>
              <w:t>个人账户服务</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D9C0045">
            <w:pPr>
              <w:pStyle w:val="54"/>
              <w:rPr>
                <w:rFonts w:hint="default"/>
                <w:color w:val="auto"/>
              </w:rPr>
            </w:pPr>
            <w:r>
              <w:rPr>
                <w:color w:val="auto"/>
              </w:rPr>
              <w:t>借记卡开卡</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4C32CC8">
            <w:pPr>
              <w:pStyle w:val="43"/>
              <w:ind w:firstLine="420"/>
              <w:rPr>
                <w:color w:val="auto"/>
              </w:rPr>
            </w:pPr>
            <w:r>
              <w:rPr>
                <w:rFonts w:hint="eastAsia"/>
                <w:color w:val="auto"/>
              </w:rPr>
              <w:t>借记卡实时开卡，支持二维码预约提前录入个人信息，个人信息确认，综合签约等开卡全流程。</w:t>
            </w:r>
          </w:p>
        </w:tc>
      </w:tr>
      <w:tr w14:paraId="5747D5E5">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72287B1E">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60814ED">
            <w:pPr>
              <w:pStyle w:val="54"/>
              <w:rPr>
                <w:rFonts w:hint="default"/>
                <w:color w:val="auto"/>
              </w:rPr>
            </w:pPr>
            <w:r>
              <w:rPr>
                <w:color w:val="auto"/>
              </w:rPr>
              <w:t>领卡</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1798A5">
            <w:pPr>
              <w:pStyle w:val="43"/>
              <w:ind w:firstLine="420"/>
              <w:rPr>
                <w:color w:val="auto"/>
              </w:rPr>
            </w:pPr>
            <w:r>
              <w:rPr>
                <w:rFonts w:hint="eastAsia"/>
                <w:color w:val="auto"/>
              </w:rPr>
              <w:t>核实客户身份，完成领卡，激活等操作</w:t>
            </w:r>
          </w:p>
        </w:tc>
      </w:tr>
      <w:tr w14:paraId="60C0B7DE">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79E597DE">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8000C24">
            <w:pPr>
              <w:pStyle w:val="54"/>
              <w:rPr>
                <w:rFonts w:hint="default"/>
                <w:color w:val="auto"/>
              </w:rPr>
            </w:pPr>
            <w:r>
              <w:rPr>
                <w:color w:val="auto"/>
              </w:rPr>
              <w:t>借记卡激活</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4DEC1E2">
            <w:pPr>
              <w:pStyle w:val="43"/>
              <w:ind w:firstLine="420"/>
              <w:rPr>
                <w:color w:val="auto"/>
              </w:rPr>
            </w:pPr>
            <w:r>
              <w:rPr>
                <w:rFonts w:hint="eastAsia"/>
                <w:color w:val="auto"/>
              </w:rPr>
              <w:t>借记卡激活，个人信息确认，签约等</w:t>
            </w:r>
          </w:p>
        </w:tc>
      </w:tr>
      <w:tr w14:paraId="5648B348">
        <w:tblPrEx>
          <w:tblCellMar>
            <w:top w:w="0" w:type="dxa"/>
            <w:left w:w="108" w:type="dxa"/>
            <w:bottom w:w="0" w:type="dxa"/>
            <w:right w:w="108" w:type="dxa"/>
          </w:tblCellMar>
        </w:tblPrEx>
        <w:trPr>
          <w:trHeight w:val="1619"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5C5AA566">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882D86">
            <w:pPr>
              <w:pStyle w:val="54"/>
              <w:rPr>
                <w:rFonts w:hint="default"/>
                <w:color w:val="auto"/>
              </w:rPr>
            </w:pPr>
            <w:r>
              <w:rPr>
                <w:color w:val="auto"/>
              </w:rPr>
              <w:t>综合签约</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F471DA3">
            <w:pPr>
              <w:pStyle w:val="43"/>
              <w:ind w:firstLine="420"/>
              <w:rPr>
                <w:color w:val="auto"/>
              </w:rPr>
            </w:pPr>
            <w:r>
              <w:rPr>
                <w:rFonts w:hint="eastAsia"/>
                <w:color w:val="auto"/>
              </w:rPr>
              <w:t>综合签约（支付限额，短信通，手机号码支付，手机银行，个人网银，本行理财，代销理财，小额双免，ATM取款限额，云闪付、支付宝微信绑定等）</w:t>
            </w:r>
          </w:p>
        </w:tc>
      </w:tr>
      <w:tr w14:paraId="44F8BE6F">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3E12AC6B">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6D67D9">
            <w:pPr>
              <w:pStyle w:val="54"/>
              <w:rPr>
                <w:rFonts w:hint="default"/>
                <w:color w:val="auto"/>
              </w:rPr>
            </w:pPr>
            <w:r>
              <w:rPr>
                <w:color w:val="auto"/>
              </w:rPr>
              <w:t>账户限额管理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35EE04">
            <w:pPr>
              <w:pStyle w:val="43"/>
              <w:ind w:firstLine="420"/>
              <w:rPr>
                <w:color w:val="auto"/>
              </w:rPr>
            </w:pPr>
            <w:r>
              <w:rPr>
                <w:rFonts w:hint="eastAsia"/>
                <w:color w:val="auto"/>
              </w:rPr>
              <w:t>账户限额管理</w:t>
            </w:r>
          </w:p>
        </w:tc>
      </w:tr>
      <w:tr w14:paraId="1CE6BADD">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15AE7DE5">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2207E4D">
            <w:pPr>
              <w:pStyle w:val="54"/>
              <w:rPr>
                <w:rFonts w:hint="default"/>
                <w:color w:val="auto"/>
              </w:rPr>
            </w:pPr>
            <w:r>
              <w:rPr>
                <w:color w:val="auto"/>
              </w:rPr>
              <w:t>银行卡安全锁管理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39A2E16">
            <w:pPr>
              <w:pStyle w:val="43"/>
              <w:ind w:firstLine="420"/>
              <w:rPr>
                <w:color w:val="auto"/>
              </w:rPr>
            </w:pPr>
            <w:r>
              <w:rPr>
                <w:rFonts w:hint="eastAsia"/>
                <w:color w:val="auto"/>
              </w:rPr>
              <w:t>银行卡安全锁管理</w:t>
            </w:r>
          </w:p>
        </w:tc>
      </w:tr>
      <w:tr w14:paraId="13EE503D">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5A9B84F4">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B486839">
            <w:pPr>
              <w:pStyle w:val="54"/>
              <w:rPr>
                <w:rFonts w:hint="default"/>
                <w:color w:val="auto"/>
              </w:rPr>
            </w:pPr>
            <w:r>
              <w:rPr>
                <w:color w:val="auto"/>
              </w:rPr>
              <w:t>凭证作废</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D3158B">
            <w:pPr>
              <w:pStyle w:val="43"/>
              <w:ind w:firstLine="420"/>
              <w:rPr>
                <w:color w:val="auto"/>
              </w:rPr>
            </w:pPr>
            <w:r>
              <w:rPr>
                <w:rFonts w:hint="eastAsia"/>
                <w:color w:val="auto"/>
              </w:rPr>
              <w:t>卡、网盾等凭证作废处理</w:t>
            </w:r>
          </w:p>
        </w:tc>
      </w:tr>
      <w:tr w14:paraId="3D18C656">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3888E65D">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6FA4C15">
            <w:pPr>
              <w:pStyle w:val="54"/>
              <w:rPr>
                <w:rFonts w:hint="default"/>
                <w:color w:val="auto"/>
              </w:rPr>
            </w:pPr>
            <w:r>
              <w:rPr>
                <w:color w:val="auto"/>
              </w:rPr>
              <w:t>账户密码管理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45BAB6">
            <w:pPr>
              <w:pStyle w:val="43"/>
              <w:ind w:firstLine="420"/>
              <w:rPr>
                <w:color w:val="auto"/>
              </w:rPr>
            </w:pPr>
            <w:r>
              <w:rPr>
                <w:rFonts w:hint="eastAsia"/>
                <w:color w:val="auto"/>
              </w:rPr>
              <w:t>银行卡密码修改/重置</w:t>
            </w:r>
          </w:p>
        </w:tc>
      </w:tr>
      <w:tr w14:paraId="306E0F08">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7A7DB292">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38895E">
            <w:pPr>
              <w:pStyle w:val="54"/>
              <w:rPr>
                <w:rFonts w:hint="default"/>
                <w:color w:val="auto"/>
              </w:rPr>
            </w:pPr>
            <w:r>
              <w:rPr>
                <w:color w:val="auto"/>
              </w:rPr>
              <w:t>凭证挂失管理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AFABE93">
            <w:pPr>
              <w:pStyle w:val="43"/>
              <w:ind w:firstLine="420"/>
              <w:rPr>
                <w:color w:val="auto"/>
              </w:rPr>
            </w:pPr>
            <w:r>
              <w:rPr>
                <w:rFonts w:hint="eastAsia"/>
                <w:color w:val="auto"/>
              </w:rPr>
              <w:t>账户挂失/解挂，挂失补卡，销户等操作</w:t>
            </w:r>
          </w:p>
        </w:tc>
      </w:tr>
      <w:tr w14:paraId="7F0F63BB">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094362AD">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92D463C">
            <w:pPr>
              <w:pStyle w:val="54"/>
              <w:rPr>
                <w:rFonts w:hint="default"/>
                <w:color w:val="auto"/>
              </w:rPr>
            </w:pPr>
            <w:r>
              <w:rPr>
                <w:color w:val="auto"/>
              </w:rPr>
              <w:t>换卡</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8EC5F43">
            <w:pPr>
              <w:pStyle w:val="43"/>
              <w:ind w:firstLine="420"/>
              <w:rPr>
                <w:color w:val="auto"/>
              </w:rPr>
            </w:pPr>
            <w:r>
              <w:rPr>
                <w:rFonts w:hint="eastAsia"/>
                <w:color w:val="auto"/>
              </w:rPr>
              <w:t>换卡，实时发卡，保号换卡</w:t>
            </w:r>
          </w:p>
        </w:tc>
      </w:tr>
      <w:tr w14:paraId="2A445A48">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0C71E756">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C47F06">
            <w:pPr>
              <w:pStyle w:val="54"/>
              <w:rPr>
                <w:rFonts w:hint="default"/>
                <w:color w:val="auto"/>
              </w:rPr>
            </w:pPr>
            <w:r>
              <w:rPr>
                <w:color w:val="auto"/>
              </w:rPr>
              <w:t>销户</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49C62B">
            <w:pPr>
              <w:pStyle w:val="43"/>
              <w:ind w:firstLine="420"/>
              <w:rPr>
                <w:color w:val="auto"/>
              </w:rPr>
            </w:pPr>
            <w:r>
              <w:rPr>
                <w:rFonts w:hint="eastAsia"/>
                <w:color w:val="auto"/>
              </w:rPr>
              <w:t>账户销户</w:t>
            </w:r>
          </w:p>
        </w:tc>
      </w:tr>
      <w:tr w14:paraId="69627DDB">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1B483CF9">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57D481">
            <w:pPr>
              <w:pStyle w:val="54"/>
              <w:rPr>
                <w:rFonts w:hint="default"/>
                <w:color w:val="auto"/>
              </w:rPr>
            </w:pPr>
            <w:r>
              <w:rPr>
                <w:color w:val="auto"/>
              </w:rPr>
              <w:t>账户升降级</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D802D9B">
            <w:pPr>
              <w:pStyle w:val="43"/>
              <w:ind w:firstLine="420"/>
              <w:rPr>
                <w:color w:val="auto"/>
              </w:rPr>
            </w:pPr>
            <w:r>
              <w:rPr>
                <w:rFonts w:hint="eastAsia"/>
                <w:color w:val="auto"/>
              </w:rPr>
              <w:t>账户升降级</w:t>
            </w:r>
          </w:p>
        </w:tc>
      </w:tr>
      <w:tr w14:paraId="580E076A">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02831FCA">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674B11">
            <w:pPr>
              <w:pStyle w:val="54"/>
              <w:rPr>
                <w:rFonts w:hint="default"/>
                <w:color w:val="auto"/>
              </w:rPr>
            </w:pPr>
            <w:r>
              <w:rPr>
                <w:color w:val="auto"/>
              </w:rPr>
              <w:t>二三类账户绑定管理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4B7BE58">
            <w:pPr>
              <w:pStyle w:val="43"/>
              <w:ind w:firstLine="420"/>
              <w:rPr>
                <w:color w:val="auto"/>
              </w:rPr>
            </w:pPr>
            <w:r>
              <w:rPr>
                <w:rFonts w:hint="eastAsia"/>
                <w:color w:val="auto"/>
              </w:rPr>
              <w:t>二三类账户绑定、解绑</w:t>
            </w:r>
          </w:p>
        </w:tc>
      </w:tr>
      <w:tr w14:paraId="0F2D465F">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2D3F585B">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2D75A5">
            <w:pPr>
              <w:pStyle w:val="54"/>
              <w:rPr>
                <w:rFonts w:hint="default"/>
                <w:color w:val="auto"/>
              </w:rPr>
            </w:pPr>
            <w:r>
              <w:rPr>
                <w:color w:val="auto"/>
              </w:rPr>
              <w:t>睡眠户激活</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072BEF">
            <w:pPr>
              <w:pStyle w:val="43"/>
              <w:ind w:firstLine="420"/>
              <w:rPr>
                <w:color w:val="auto"/>
              </w:rPr>
            </w:pPr>
            <w:r>
              <w:rPr>
                <w:rFonts w:hint="eastAsia"/>
                <w:color w:val="auto"/>
              </w:rPr>
              <w:t>睡眠户激活</w:t>
            </w:r>
          </w:p>
        </w:tc>
      </w:tr>
      <w:tr w14:paraId="138BD441">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56F1561E">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381B22A">
            <w:pPr>
              <w:pStyle w:val="54"/>
              <w:rPr>
                <w:rFonts w:hint="default"/>
                <w:color w:val="auto"/>
              </w:rPr>
            </w:pPr>
            <w:r>
              <w:rPr>
                <w:color w:val="auto"/>
              </w:rPr>
              <w:t>客户信息维护</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9CB300">
            <w:pPr>
              <w:pStyle w:val="43"/>
              <w:ind w:firstLine="420"/>
              <w:rPr>
                <w:color w:val="auto"/>
              </w:rPr>
            </w:pPr>
            <w:r>
              <w:rPr>
                <w:rFonts w:hint="eastAsia"/>
                <w:color w:val="auto"/>
              </w:rPr>
              <w:t>客户信息维护</w:t>
            </w:r>
          </w:p>
        </w:tc>
      </w:tr>
      <w:tr w14:paraId="31D2E91B">
        <w:tblPrEx>
          <w:tblCellMar>
            <w:top w:w="0" w:type="dxa"/>
            <w:left w:w="108" w:type="dxa"/>
            <w:bottom w:w="0" w:type="dxa"/>
            <w:right w:w="108" w:type="dxa"/>
          </w:tblCellMar>
        </w:tblPrEx>
        <w:trPr>
          <w:trHeight w:val="524" w:hRule="atLeast"/>
        </w:trPr>
        <w:tc>
          <w:tcPr>
            <w:tcW w:w="1605" w:type="dxa"/>
            <w:vMerge w:val="continue"/>
            <w:tcBorders>
              <w:top w:val="nil"/>
              <w:left w:val="single" w:color="000000" w:sz="6" w:space="0"/>
              <w:bottom w:val="nil"/>
              <w:right w:val="single" w:color="000000" w:sz="6" w:space="0"/>
              <w:tl2br w:val="nil"/>
              <w:tr2bl w:val="nil"/>
            </w:tcBorders>
            <w:noWrap/>
            <w:vAlign w:val="center"/>
          </w:tcPr>
          <w:p w14:paraId="765A7F80">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DA530E">
            <w:pPr>
              <w:pStyle w:val="54"/>
              <w:rPr>
                <w:rFonts w:hint="default"/>
                <w:color w:val="auto"/>
              </w:rPr>
            </w:pPr>
            <w:r>
              <w:rPr>
                <w:color w:val="auto"/>
              </w:rPr>
              <w:t>客户身份核实</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AB0F5CF">
            <w:pPr>
              <w:pStyle w:val="43"/>
              <w:ind w:firstLine="420"/>
              <w:rPr>
                <w:color w:val="auto"/>
              </w:rPr>
            </w:pPr>
            <w:r>
              <w:rPr>
                <w:rFonts w:hint="eastAsia"/>
                <w:color w:val="auto"/>
              </w:rPr>
              <w:t>客户身份核实</w:t>
            </w:r>
          </w:p>
        </w:tc>
      </w:tr>
      <w:tr w14:paraId="3DE71F84">
        <w:tblPrEx>
          <w:tblCellMar>
            <w:top w:w="0" w:type="dxa"/>
            <w:left w:w="108" w:type="dxa"/>
            <w:bottom w:w="0" w:type="dxa"/>
            <w:right w:w="108" w:type="dxa"/>
          </w:tblCellMar>
        </w:tblPrEx>
        <w:trPr>
          <w:trHeight w:val="1004" w:hRule="atLeast"/>
        </w:trPr>
        <w:tc>
          <w:tcPr>
            <w:tcW w:w="1605" w:type="dxa"/>
            <w:vMerge w:val="continue"/>
            <w:tcBorders>
              <w:top w:val="nil"/>
              <w:left w:val="single" w:color="000000" w:sz="6" w:space="0"/>
              <w:bottom w:val="single" w:color="000000" w:sz="6" w:space="0"/>
              <w:right w:val="single" w:color="000000" w:sz="6" w:space="0"/>
              <w:tl2br w:val="nil"/>
              <w:tr2bl w:val="nil"/>
            </w:tcBorders>
            <w:noWrap/>
            <w:vAlign w:val="center"/>
          </w:tcPr>
          <w:p w14:paraId="034581A9">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C8BE380">
            <w:pPr>
              <w:pStyle w:val="54"/>
              <w:rPr>
                <w:rFonts w:hint="default"/>
                <w:color w:val="auto"/>
              </w:rPr>
            </w:pPr>
            <w:r>
              <w:rPr>
                <w:color w:val="auto"/>
              </w:rPr>
              <w:t>客户视图查询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DA35455">
            <w:pPr>
              <w:pStyle w:val="43"/>
              <w:ind w:firstLine="420"/>
              <w:rPr>
                <w:color w:val="auto"/>
              </w:rPr>
            </w:pPr>
            <w:r>
              <w:rPr>
                <w:rFonts w:hint="eastAsia"/>
                <w:color w:val="auto"/>
              </w:rPr>
              <w:t>通过客户身份核实确认，查询客户账户信息，资产信息，理财，贷款等信息。</w:t>
            </w:r>
          </w:p>
        </w:tc>
      </w:tr>
      <w:tr w14:paraId="40F6FE88">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6B0CE3D">
            <w:pPr>
              <w:pStyle w:val="54"/>
              <w:rPr>
                <w:rFonts w:hint="default"/>
                <w:color w:val="auto"/>
              </w:rPr>
            </w:pPr>
            <w:r>
              <w:rPr>
                <w:color w:val="auto"/>
              </w:rPr>
              <w:t>存款产品</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E4D859">
            <w:pPr>
              <w:pStyle w:val="54"/>
              <w:rPr>
                <w:rFonts w:hint="default"/>
                <w:color w:val="auto"/>
              </w:rPr>
            </w:pPr>
            <w:r>
              <w:rPr>
                <w:color w:val="auto"/>
              </w:rPr>
              <w:t>财富存</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4C8E2D">
            <w:pPr>
              <w:pStyle w:val="43"/>
              <w:ind w:firstLine="420"/>
              <w:rPr>
                <w:color w:val="auto"/>
              </w:rPr>
            </w:pPr>
            <w:r>
              <w:rPr>
                <w:rFonts w:hint="eastAsia"/>
                <w:color w:val="auto"/>
              </w:rPr>
              <w:t>财富存开户、我的财富存查询、财富存支取</w:t>
            </w:r>
          </w:p>
        </w:tc>
      </w:tr>
      <w:tr w14:paraId="041F4535">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8F8B5C">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E22E1A">
            <w:pPr>
              <w:pStyle w:val="54"/>
              <w:rPr>
                <w:rFonts w:hint="default"/>
                <w:color w:val="auto"/>
              </w:rPr>
            </w:pPr>
            <w:r>
              <w:rPr>
                <w:color w:val="auto"/>
              </w:rPr>
              <w:t>大额存单</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0F6194">
            <w:pPr>
              <w:pStyle w:val="43"/>
              <w:ind w:firstLine="420"/>
              <w:rPr>
                <w:color w:val="auto"/>
              </w:rPr>
            </w:pPr>
            <w:r>
              <w:rPr>
                <w:rFonts w:hint="eastAsia"/>
                <w:color w:val="auto"/>
              </w:rPr>
              <w:t>大额存单开户，大额存单持有查询，大额存单支取</w:t>
            </w:r>
          </w:p>
        </w:tc>
      </w:tr>
      <w:tr w14:paraId="305C6932">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EAEBEF2">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0E028B3">
            <w:pPr>
              <w:pStyle w:val="54"/>
              <w:rPr>
                <w:rFonts w:hint="default"/>
                <w:color w:val="auto"/>
              </w:rPr>
            </w:pPr>
            <w:r>
              <w:rPr>
                <w:color w:val="auto"/>
              </w:rPr>
              <w:t>整存整取</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2862C40">
            <w:pPr>
              <w:pStyle w:val="43"/>
              <w:ind w:firstLine="420"/>
              <w:rPr>
                <w:color w:val="auto"/>
              </w:rPr>
            </w:pPr>
            <w:r>
              <w:rPr>
                <w:rFonts w:hint="eastAsia"/>
                <w:color w:val="auto"/>
              </w:rPr>
              <w:t>整存整取开户、支取和查询</w:t>
            </w:r>
          </w:p>
        </w:tc>
      </w:tr>
      <w:tr w14:paraId="4961E04A">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643C63C0">
            <w:pPr>
              <w:pStyle w:val="54"/>
              <w:rPr>
                <w:rFonts w:hint="default"/>
                <w:color w:val="auto"/>
              </w:rPr>
            </w:pPr>
            <w:r>
              <w:rPr>
                <w:color w:val="auto"/>
              </w:rPr>
              <w:t>理财产品</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BCBAC9D">
            <w:pPr>
              <w:pStyle w:val="54"/>
              <w:rPr>
                <w:rFonts w:hint="default"/>
                <w:color w:val="auto"/>
              </w:rPr>
            </w:pPr>
            <w:r>
              <w:rPr>
                <w:color w:val="auto"/>
              </w:rPr>
              <w:t>理财产品查询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FAA0A81">
            <w:pPr>
              <w:pStyle w:val="43"/>
              <w:ind w:firstLine="420"/>
              <w:rPr>
                <w:color w:val="auto"/>
              </w:rPr>
            </w:pPr>
            <w:r>
              <w:rPr>
                <w:rFonts w:hint="eastAsia"/>
                <w:color w:val="auto"/>
              </w:rPr>
              <w:t>理财产品查询，持有理财查询（本行理财、代销理财）</w:t>
            </w:r>
          </w:p>
        </w:tc>
      </w:tr>
      <w:tr w14:paraId="17571A68">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AE6402A">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385775">
            <w:pPr>
              <w:pStyle w:val="54"/>
              <w:rPr>
                <w:rFonts w:hint="default"/>
                <w:color w:val="auto"/>
              </w:rPr>
            </w:pPr>
            <w:r>
              <w:rPr>
                <w:color w:val="auto"/>
              </w:rPr>
              <w:t>理财风险评估</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80194A">
            <w:pPr>
              <w:pStyle w:val="43"/>
              <w:ind w:firstLine="420"/>
              <w:rPr>
                <w:color w:val="auto"/>
              </w:rPr>
            </w:pPr>
            <w:r>
              <w:rPr>
                <w:rFonts w:hint="eastAsia"/>
                <w:color w:val="auto"/>
              </w:rPr>
              <w:t>本行理财、代销理财风险评估</w:t>
            </w:r>
          </w:p>
        </w:tc>
      </w:tr>
      <w:tr w14:paraId="42B59B93">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039CB830">
            <w:pPr>
              <w:pStyle w:val="54"/>
              <w:rPr>
                <w:rFonts w:hint="default"/>
                <w:color w:val="auto"/>
              </w:rPr>
            </w:pPr>
            <w:r>
              <w:rPr>
                <w:color w:val="auto"/>
              </w:rPr>
              <w:t>积分服务</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E52C9F4">
            <w:pPr>
              <w:pStyle w:val="54"/>
              <w:rPr>
                <w:rFonts w:hint="default"/>
                <w:color w:val="auto"/>
              </w:rPr>
            </w:pPr>
            <w:r>
              <w:rPr>
                <w:color w:val="auto"/>
              </w:rPr>
              <w:t>积分兑换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1A582D">
            <w:pPr>
              <w:pStyle w:val="43"/>
              <w:ind w:firstLine="420"/>
              <w:rPr>
                <w:color w:val="auto"/>
              </w:rPr>
            </w:pPr>
            <w:r>
              <w:rPr>
                <w:rFonts w:hint="eastAsia"/>
                <w:color w:val="auto"/>
              </w:rPr>
              <w:t>登录帆帆商城，完成积分兑换</w:t>
            </w:r>
          </w:p>
        </w:tc>
      </w:tr>
      <w:tr w14:paraId="311235F9">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4C1E3F74">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F7511F1">
            <w:pPr>
              <w:pStyle w:val="54"/>
              <w:rPr>
                <w:rFonts w:hint="default"/>
                <w:color w:val="auto"/>
              </w:rPr>
            </w:pPr>
            <w:bookmarkStart w:id="1019" w:name="OLE_LINK6"/>
            <w:r>
              <w:rPr>
                <w:color w:val="auto"/>
              </w:rPr>
              <w:t>积分领取</w:t>
            </w:r>
            <w:bookmarkEnd w:id="1019"/>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93E2B5D">
            <w:pPr>
              <w:pStyle w:val="43"/>
              <w:ind w:firstLine="420"/>
              <w:rPr>
                <w:color w:val="auto"/>
              </w:rPr>
            </w:pPr>
            <w:r>
              <w:rPr>
                <w:rFonts w:hint="eastAsia"/>
                <w:color w:val="auto"/>
              </w:rPr>
              <w:t>积分领取</w:t>
            </w:r>
          </w:p>
        </w:tc>
      </w:tr>
      <w:tr w14:paraId="7BBB63E1">
        <w:tblPrEx>
          <w:tblCellMar>
            <w:top w:w="0" w:type="dxa"/>
            <w:left w:w="108" w:type="dxa"/>
            <w:bottom w:w="0" w:type="dxa"/>
            <w:right w:w="108" w:type="dxa"/>
          </w:tblCellMar>
        </w:tblPrEx>
        <w:trPr>
          <w:trHeight w:val="52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2AD6B39">
            <w:pPr>
              <w:pStyle w:val="54"/>
              <w:rPr>
                <w:rFonts w:hint="default"/>
                <w:color w:val="auto"/>
              </w:rPr>
            </w:pPr>
            <w:r>
              <w:rPr>
                <w:color w:val="auto"/>
              </w:rPr>
              <w:t>其它</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1F73468">
            <w:pPr>
              <w:pStyle w:val="54"/>
              <w:rPr>
                <w:rFonts w:hint="default"/>
                <w:color w:val="auto"/>
              </w:rPr>
            </w:pPr>
            <w:r>
              <w:rPr>
                <w:color w:val="auto"/>
              </w:rPr>
              <w:t>身份认证</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A27DA8">
            <w:pPr>
              <w:pStyle w:val="43"/>
              <w:ind w:firstLine="420"/>
              <w:rPr>
                <w:color w:val="auto"/>
              </w:rPr>
            </w:pPr>
            <w:r>
              <w:rPr>
                <w:rFonts w:hint="eastAsia"/>
                <w:color w:val="auto"/>
              </w:rPr>
              <w:t>客户身份认证</w:t>
            </w:r>
          </w:p>
        </w:tc>
      </w:tr>
      <w:tr w14:paraId="19C39580">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5EF3A460">
            <w:pPr>
              <w:pStyle w:val="54"/>
              <w:rPr>
                <w:rFonts w:hint="default"/>
                <w:color w:val="auto"/>
              </w:rPr>
            </w:pPr>
            <w:r>
              <w:rPr>
                <w:color w:val="auto"/>
              </w:rPr>
              <w:t>对公开户</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3F5D79C">
            <w:pPr>
              <w:pStyle w:val="54"/>
              <w:rPr>
                <w:rFonts w:hint="default"/>
                <w:color w:val="auto"/>
              </w:rPr>
            </w:pPr>
            <w:r>
              <w:rPr>
                <w:color w:val="auto"/>
              </w:rPr>
              <w:t>对公开户</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5D4241">
            <w:pPr>
              <w:pStyle w:val="43"/>
              <w:ind w:firstLine="420"/>
              <w:rPr>
                <w:color w:val="auto"/>
              </w:rPr>
            </w:pPr>
            <w:r>
              <w:rPr>
                <w:rFonts w:hint="eastAsia"/>
                <w:color w:val="auto"/>
              </w:rPr>
              <w:t>对公开户</w:t>
            </w:r>
          </w:p>
        </w:tc>
      </w:tr>
      <w:tr w14:paraId="06F40847">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7F4B19D3">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2ABB0B">
            <w:pPr>
              <w:pStyle w:val="54"/>
              <w:rPr>
                <w:rFonts w:hint="default"/>
                <w:color w:val="auto"/>
              </w:rPr>
            </w:pPr>
            <w:r>
              <w:rPr>
                <w:color w:val="auto"/>
              </w:rPr>
              <w:t>预约开户</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5569DE4">
            <w:pPr>
              <w:pStyle w:val="43"/>
              <w:ind w:firstLine="420"/>
              <w:rPr>
                <w:color w:val="auto"/>
              </w:rPr>
            </w:pPr>
            <w:r>
              <w:rPr>
                <w:rFonts w:hint="eastAsia"/>
                <w:color w:val="auto"/>
              </w:rPr>
              <w:t>二维码，小程序完成对公开户信息录入</w:t>
            </w:r>
          </w:p>
        </w:tc>
      </w:tr>
      <w:tr w14:paraId="34B6B1BD">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AEE341A">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51BF01">
            <w:pPr>
              <w:pStyle w:val="54"/>
              <w:rPr>
                <w:rFonts w:hint="default"/>
                <w:color w:val="auto"/>
              </w:rPr>
            </w:pPr>
            <w:r>
              <w:rPr>
                <w:color w:val="auto"/>
              </w:rPr>
              <w:t>尽职调查</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E198956">
            <w:pPr>
              <w:pStyle w:val="43"/>
              <w:ind w:firstLine="420"/>
              <w:rPr>
                <w:color w:val="auto"/>
              </w:rPr>
            </w:pPr>
            <w:r>
              <w:rPr>
                <w:rFonts w:hint="eastAsia"/>
                <w:color w:val="auto"/>
              </w:rPr>
              <w:t>尽职调查</w:t>
            </w:r>
          </w:p>
        </w:tc>
      </w:tr>
      <w:tr w14:paraId="57AE53BA">
        <w:tblPrEx>
          <w:tblCellMar>
            <w:top w:w="0" w:type="dxa"/>
            <w:left w:w="108" w:type="dxa"/>
            <w:bottom w:w="0" w:type="dxa"/>
            <w:right w:w="108" w:type="dxa"/>
          </w:tblCellMar>
        </w:tblPrEx>
        <w:trPr>
          <w:trHeight w:val="52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CD5F1F">
            <w:pPr>
              <w:pStyle w:val="54"/>
              <w:rPr>
                <w:rFonts w:hint="default"/>
                <w:color w:val="auto"/>
              </w:rPr>
            </w:pPr>
            <w:r>
              <w:rPr>
                <w:color w:val="auto"/>
              </w:rPr>
              <w:t>对公信息维护</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4C722B1">
            <w:pPr>
              <w:pStyle w:val="54"/>
              <w:rPr>
                <w:rFonts w:hint="default"/>
                <w:color w:val="auto"/>
              </w:rPr>
            </w:pPr>
            <w:r>
              <w:rPr>
                <w:color w:val="auto"/>
              </w:rPr>
              <w:t>对公客户信息维护</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8AD8DC">
            <w:pPr>
              <w:pStyle w:val="43"/>
              <w:ind w:firstLine="420"/>
              <w:rPr>
                <w:color w:val="auto"/>
              </w:rPr>
            </w:pPr>
            <w:r>
              <w:rPr>
                <w:rFonts w:hint="eastAsia"/>
                <w:color w:val="auto"/>
              </w:rPr>
              <w:t>对公客户信息维护/预约</w:t>
            </w:r>
          </w:p>
        </w:tc>
      </w:tr>
      <w:tr w14:paraId="28BBE00D">
        <w:tblPrEx>
          <w:tblCellMar>
            <w:top w:w="0" w:type="dxa"/>
            <w:left w:w="108" w:type="dxa"/>
            <w:bottom w:w="0" w:type="dxa"/>
            <w:right w:w="108" w:type="dxa"/>
          </w:tblCellMar>
        </w:tblPrEx>
        <w:trPr>
          <w:trHeight w:val="52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5CEDE4F">
            <w:pPr>
              <w:pStyle w:val="54"/>
              <w:rPr>
                <w:rFonts w:hint="default"/>
                <w:color w:val="auto"/>
              </w:rPr>
            </w:pPr>
            <w:r>
              <w:rPr>
                <w:color w:val="auto"/>
              </w:rPr>
              <w:t>对公签约管理</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C33716F">
            <w:pPr>
              <w:pStyle w:val="54"/>
              <w:rPr>
                <w:rFonts w:hint="default"/>
                <w:color w:val="auto"/>
              </w:rPr>
            </w:pPr>
            <w:r>
              <w:rPr>
                <w:color w:val="auto"/>
              </w:rPr>
              <w:t>对公签约</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93AF60">
            <w:pPr>
              <w:pStyle w:val="43"/>
              <w:ind w:firstLine="420"/>
              <w:rPr>
                <w:color w:val="auto"/>
              </w:rPr>
            </w:pPr>
            <w:r>
              <w:rPr>
                <w:rFonts w:hint="eastAsia"/>
                <w:color w:val="auto"/>
              </w:rPr>
              <w:t>对公代发、回单、短信、网银签约/预约</w:t>
            </w:r>
          </w:p>
        </w:tc>
      </w:tr>
    </w:tbl>
    <w:p w14:paraId="4A8F14F5">
      <w:pPr>
        <w:pStyle w:val="4"/>
        <w:ind w:firstLine="422"/>
        <w:rPr>
          <w:color w:val="auto"/>
        </w:rPr>
      </w:pPr>
      <w:r>
        <w:rPr>
          <w:color w:val="auto"/>
        </w:rPr>
        <w:t>1.2</w:t>
      </w:r>
      <w:r>
        <w:rPr>
          <w:rFonts w:hint="eastAsia"/>
          <w:color w:val="auto"/>
        </w:rPr>
        <w:t xml:space="preserve"> </w:t>
      </w:r>
      <w:bookmarkStart w:id="1020" w:name="OLE_LINK7"/>
      <w:r>
        <w:rPr>
          <w:rFonts w:hint="eastAsia"/>
          <w:color w:val="auto"/>
        </w:rPr>
        <w:t>移动</w:t>
      </w:r>
      <w:bookmarkEnd w:id="1020"/>
      <w:r>
        <w:rPr>
          <w:rFonts w:hint="eastAsia"/>
          <w:color w:val="auto"/>
        </w:rPr>
        <w:t>作业管理功能概述</w:t>
      </w:r>
    </w:p>
    <w:p w14:paraId="6E23EAB8">
      <w:pPr>
        <w:ind w:firstLine="420"/>
        <w:rPr>
          <w:color w:val="auto"/>
        </w:rPr>
      </w:pPr>
      <w:r>
        <w:rPr>
          <w:rFonts w:hint="eastAsia"/>
          <w:color w:val="auto"/>
        </w:rPr>
        <w:t>移动</w:t>
      </w:r>
      <w:r>
        <w:rPr>
          <w:color w:val="auto"/>
        </w:rPr>
        <w:t>管理功能</w:t>
      </w:r>
      <w:r>
        <w:rPr>
          <w:rFonts w:hint="eastAsia"/>
          <w:color w:val="auto"/>
        </w:rPr>
        <w:t>主要包括本行工作人员对外办理业务所涉及到的管理功能，将在平板和手机端协同完成。</w:t>
      </w:r>
    </w:p>
    <w:tbl>
      <w:tblPr>
        <w:tblStyle w:val="19"/>
        <w:tblW w:w="0" w:type="auto"/>
        <w:tblInd w:w="108" w:type="dxa"/>
        <w:tblLayout w:type="autofit"/>
        <w:tblCellMar>
          <w:top w:w="0" w:type="dxa"/>
          <w:left w:w="108" w:type="dxa"/>
          <w:bottom w:w="0" w:type="dxa"/>
          <w:right w:w="108" w:type="dxa"/>
        </w:tblCellMar>
      </w:tblPr>
      <w:tblGrid>
        <w:gridCol w:w="1605"/>
        <w:gridCol w:w="3120"/>
        <w:gridCol w:w="3330"/>
      </w:tblGrid>
      <w:tr w14:paraId="293D5671">
        <w:tblPrEx>
          <w:tblCellMar>
            <w:top w:w="0" w:type="dxa"/>
            <w:left w:w="108" w:type="dxa"/>
            <w:bottom w:w="0" w:type="dxa"/>
            <w:right w:w="108" w:type="dxa"/>
          </w:tblCellMar>
        </w:tblPrEx>
        <w:trPr>
          <w:trHeight w:val="28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2F08E60">
            <w:pPr>
              <w:pStyle w:val="44"/>
              <w:rPr>
                <w:color w:val="auto"/>
              </w:rPr>
            </w:pPr>
            <w:r>
              <w:rPr>
                <w:rFonts w:hint="eastAsia"/>
                <w:color w:val="auto"/>
              </w:rPr>
              <w:t>业务模块</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92EAB2">
            <w:pPr>
              <w:pStyle w:val="44"/>
              <w:rPr>
                <w:color w:val="auto"/>
              </w:rPr>
            </w:pPr>
            <w:r>
              <w:rPr>
                <w:rFonts w:hint="eastAsia"/>
                <w:color w:val="auto"/>
              </w:rPr>
              <w:t>业务功能</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425ED8">
            <w:pPr>
              <w:pStyle w:val="44"/>
              <w:rPr>
                <w:color w:val="auto"/>
              </w:rPr>
            </w:pPr>
            <w:r>
              <w:rPr>
                <w:rFonts w:hint="eastAsia"/>
                <w:color w:val="auto"/>
              </w:rPr>
              <w:t>业务功能简述</w:t>
            </w:r>
          </w:p>
        </w:tc>
      </w:tr>
      <w:tr w14:paraId="1DC7C074">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3129FBF4">
            <w:pPr>
              <w:pStyle w:val="54"/>
              <w:rPr>
                <w:rFonts w:hint="default"/>
                <w:color w:val="auto"/>
              </w:rPr>
            </w:pPr>
            <w:r>
              <w:rPr>
                <w:color w:val="auto"/>
              </w:rPr>
              <w:t>凭证管理</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B37D62">
            <w:pPr>
              <w:pStyle w:val="54"/>
              <w:rPr>
                <w:rFonts w:hint="default"/>
                <w:color w:val="auto"/>
              </w:rPr>
            </w:pPr>
            <w:r>
              <w:rPr>
                <w:color w:val="auto"/>
              </w:rPr>
              <w:t>尾箱查询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ADDE5DB">
            <w:pPr>
              <w:pStyle w:val="43"/>
              <w:ind w:firstLine="420"/>
              <w:rPr>
                <w:color w:val="auto"/>
              </w:rPr>
            </w:pPr>
            <w:r>
              <w:rPr>
                <w:rFonts w:hint="eastAsia"/>
                <w:color w:val="auto"/>
              </w:rPr>
              <w:t>尾箱凭证查询</w:t>
            </w:r>
          </w:p>
        </w:tc>
      </w:tr>
      <w:tr w14:paraId="01927B57">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132ED6F8">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6F99DBF">
            <w:pPr>
              <w:pStyle w:val="54"/>
              <w:rPr>
                <w:rFonts w:hint="default"/>
                <w:color w:val="auto"/>
              </w:rPr>
            </w:pPr>
            <w:r>
              <w:rPr>
                <w:color w:val="auto"/>
              </w:rPr>
              <w:t>凭证管理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1255DF6">
            <w:pPr>
              <w:pStyle w:val="43"/>
              <w:ind w:firstLine="420"/>
              <w:rPr>
                <w:color w:val="auto"/>
              </w:rPr>
            </w:pPr>
            <w:r>
              <w:rPr>
                <w:rFonts w:hint="eastAsia"/>
                <w:color w:val="auto"/>
              </w:rPr>
              <w:t>凭证调拨，上交，领用等</w:t>
            </w:r>
          </w:p>
        </w:tc>
      </w:tr>
      <w:tr w14:paraId="46884A24">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B926B54">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2C7498">
            <w:pPr>
              <w:pStyle w:val="54"/>
              <w:rPr>
                <w:rFonts w:hint="default"/>
                <w:color w:val="auto"/>
              </w:rPr>
            </w:pPr>
            <w:r>
              <w:rPr>
                <w:color w:val="auto"/>
              </w:rPr>
              <w:t>凭证使用查询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381D2FF">
            <w:pPr>
              <w:pStyle w:val="43"/>
              <w:ind w:firstLine="420"/>
              <w:rPr>
                <w:color w:val="auto"/>
              </w:rPr>
            </w:pPr>
            <w:r>
              <w:rPr>
                <w:rFonts w:hint="eastAsia"/>
                <w:color w:val="auto"/>
              </w:rPr>
              <w:t>凭证使用查询，凭证状态查询</w:t>
            </w:r>
          </w:p>
        </w:tc>
      </w:tr>
      <w:tr w14:paraId="6958BBBA">
        <w:tblPrEx>
          <w:tblCellMar>
            <w:top w:w="0" w:type="dxa"/>
            <w:left w:w="108" w:type="dxa"/>
            <w:bottom w:w="0" w:type="dxa"/>
            <w:right w:w="108" w:type="dxa"/>
          </w:tblCellMar>
        </w:tblPrEx>
        <w:trPr>
          <w:trHeight w:val="524" w:hRule="atLeast"/>
        </w:trPr>
        <w:tc>
          <w:tcPr>
            <w:tcW w:w="1605"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14:paraId="7591282F">
            <w:pPr>
              <w:pStyle w:val="54"/>
              <w:rPr>
                <w:rFonts w:hint="default"/>
                <w:color w:val="auto"/>
              </w:rPr>
            </w:pPr>
            <w:r>
              <w:rPr>
                <w:color w:val="auto"/>
              </w:rPr>
              <w:t>授权中心</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CBF7C7F">
            <w:pPr>
              <w:pStyle w:val="54"/>
              <w:rPr>
                <w:rFonts w:hint="default"/>
                <w:color w:val="auto"/>
              </w:rPr>
            </w:pPr>
            <w:r>
              <w:rPr>
                <w:color w:val="auto"/>
              </w:rPr>
              <w:t>业务查询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91803DB">
            <w:pPr>
              <w:pStyle w:val="43"/>
              <w:ind w:firstLine="420"/>
              <w:rPr>
                <w:color w:val="auto"/>
              </w:rPr>
            </w:pPr>
            <w:r>
              <w:rPr>
                <w:rFonts w:hint="eastAsia"/>
                <w:color w:val="auto"/>
              </w:rPr>
              <w:t>业务查询，办理状态查询，交易信息查询，影像资料查询</w:t>
            </w:r>
          </w:p>
        </w:tc>
      </w:tr>
      <w:tr w14:paraId="19D72E22">
        <w:tblPrEx>
          <w:tblCellMar>
            <w:top w:w="0" w:type="dxa"/>
            <w:left w:w="108" w:type="dxa"/>
            <w:bottom w:w="0" w:type="dxa"/>
            <w:right w:w="108" w:type="dxa"/>
          </w:tblCellMar>
        </w:tblPrEx>
        <w:trPr>
          <w:trHeight w:val="58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0C26C03D">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5A9ACB1">
            <w:pPr>
              <w:pStyle w:val="54"/>
              <w:rPr>
                <w:rFonts w:hint="default"/>
                <w:color w:val="auto"/>
              </w:rPr>
            </w:pPr>
            <w:r>
              <w:rPr>
                <w:color w:val="auto"/>
              </w:rPr>
              <w:t>退回补充处理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952D58C">
            <w:pPr>
              <w:pStyle w:val="43"/>
              <w:ind w:firstLine="420"/>
              <w:rPr>
                <w:color w:val="auto"/>
              </w:rPr>
            </w:pPr>
            <w:r>
              <w:rPr>
                <w:rFonts w:hint="eastAsia"/>
                <w:color w:val="auto"/>
              </w:rPr>
              <w:t>退回修改信息，修改限额，补充资料等功能</w:t>
            </w:r>
          </w:p>
        </w:tc>
      </w:tr>
      <w:tr w14:paraId="0A0D3292">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6F1192C2">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0381677">
            <w:pPr>
              <w:pStyle w:val="54"/>
              <w:rPr>
                <w:rFonts w:hint="default"/>
                <w:color w:val="auto"/>
              </w:rPr>
            </w:pPr>
            <w:r>
              <w:rPr>
                <w:color w:val="auto"/>
              </w:rPr>
              <w:t>业务办理统计查询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2C27B9E">
            <w:pPr>
              <w:pStyle w:val="43"/>
              <w:ind w:firstLine="420"/>
              <w:rPr>
                <w:color w:val="auto"/>
              </w:rPr>
            </w:pPr>
            <w:r>
              <w:rPr>
                <w:rFonts w:hint="eastAsia"/>
                <w:color w:val="auto"/>
              </w:rPr>
              <w:t>业务办理统计查询</w:t>
            </w:r>
          </w:p>
        </w:tc>
      </w:tr>
      <w:tr w14:paraId="7F46E86A">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3759BA2B">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847E721">
            <w:pPr>
              <w:pStyle w:val="54"/>
              <w:rPr>
                <w:rFonts w:hint="default"/>
                <w:color w:val="auto"/>
              </w:rPr>
            </w:pPr>
            <w:r>
              <w:rPr>
                <w:color w:val="auto"/>
              </w:rPr>
              <w:t>业务授权统计查询</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97A98DB">
            <w:pPr>
              <w:pStyle w:val="43"/>
              <w:ind w:firstLine="420"/>
              <w:rPr>
                <w:color w:val="auto"/>
              </w:rPr>
            </w:pPr>
            <w:r>
              <w:rPr>
                <w:rFonts w:hint="eastAsia"/>
                <w:color w:val="auto"/>
              </w:rPr>
              <w:t>业务授权统计查询</w:t>
            </w:r>
          </w:p>
        </w:tc>
      </w:tr>
      <w:tr w14:paraId="68D0C695">
        <w:tblPrEx>
          <w:tblCellMar>
            <w:top w:w="0" w:type="dxa"/>
            <w:left w:w="108" w:type="dxa"/>
            <w:bottom w:w="0" w:type="dxa"/>
            <w:right w:w="108" w:type="dxa"/>
          </w:tblCellMar>
        </w:tblPrEx>
        <w:trPr>
          <w:trHeight w:val="524" w:hRule="atLeast"/>
        </w:trPr>
        <w:tc>
          <w:tcPr>
            <w:tcW w:w="1605"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14:paraId="5E4F290F">
            <w:pPr>
              <w:pStyle w:val="54"/>
              <w:rPr>
                <w:rFonts w:hint="default"/>
                <w:color w:val="auto"/>
              </w:rPr>
            </w:pP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DE71CB6">
            <w:pPr>
              <w:pStyle w:val="54"/>
              <w:rPr>
                <w:rFonts w:hint="default"/>
                <w:color w:val="auto"/>
              </w:rPr>
            </w:pPr>
            <w:r>
              <w:rPr>
                <w:color w:val="auto"/>
              </w:rPr>
              <w:t>业务授权</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6453A0C">
            <w:pPr>
              <w:pStyle w:val="43"/>
              <w:ind w:firstLine="420"/>
              <w:rPr>
                <w:color w:val="auto"/>
              </w:rPr>
            </w:pPr>
            <w:r>
              <w:rPr>
                <w:rFonts w:hint="eastAsia"/>
                <w:color w:val="auto"/>
              </w:rPr>
              <w:t>尽职调查审批，支付落地授权，交易预警审批，大额审批，虚拟柜员号修改授权等</w:t>
            </w:r>
          </w:p>
        </w:tc>
      </w:tr>
      <w:tr w14:paraId="0D58BC2F">
        <w:tblPrEx>
          <w:tblCellMar>
            <w:top w:w="0" w:type="dxa"/>
            <w:left w:w="108" w:type="dxa"/>
            <w:bottom w:w="0" w:type="dxa"/>
            <w:right w:w="108" w:type="dxa"/>
          </w:tblCellMar>
        </w:tblPrEx>
        <w:trPr>
          <w:trHeight w:val="524" w:hRule="atLeast"/>
        </w:trPr>
        <w:tc>
          <w:tcPr>
            <w:tcW w:w="1605"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C5F355F">
            <w:pPr>
              <w:pStyle w:val="54"/>
              <w:rPr>
                <w:rFonts w:hint="default"/>
                <w:color w:val="auto"/>
              </w:rPr>
            </w:pPr>
            <w:r>
              <w:rPr>
                <w:color w:val="auto"/>
              </w:rPr>
              <w:t>设备管理</w:t>
            </w:r>
          </w:p>
        </w:tc>
        <w:tc>
          <w:tcPr>
            <w:tcW w:w="312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8F3EEC">
            <w:pPr>
              <w:pStyle w:val="54"/>
              <w:rPr>
                <w:rFonts w:hint="default"/>
                <w:color w:val="auto"/>
              </w:rPr>
            </w:pPr>
            <w:r>
              <w:rPr>
                <w:color w:val="auto"/>
              </w:rPr>
              <w:t>设备维护管理</w:t>
            </w:r>
          </w:p>
        </w:tc>
        <w:tc>
          <w:tcPr>
            <w:tcW w:w="3330"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16DD388">
            <w:pPr>
              <w:pStyle w:val="43"/>
              <w:ind w:firstLine="420"/>
              <w:rPr>
                <w:color w:val="auto"/>
              </w:rPr>
            </w:pPr>
            <w:r>
              <w:rPr>
                <w:rFonts w:hint="eastAsia"/>
                <w:color w:val="auto"/>
              </w:rPr>
              <w:t>设备信息，设备注册，绑定，虚拟柜员号调整等操作</w:t>
            </w:r>
          </w:p>
        </w:tc>
      </w:tr>
    </w:tbl>
    <w:p w14:paraId="20381E42">
      <w:pPr>
        <w:pStyle w:val="4"/>
        <w:ind w:firstLine="422"/>
        <w:rPr>
          <w:color w:val="auto"/>
        </w:rPr>
      </w:pPr>
      <w:r>
        <w:rPr>
          <w:color w:val="auto"/>
        </w:rPr>
        <w:t>1.</w:t>
      </w:r>
      <w:r>
        <w:rPr>
          <w:rFonts w:hint="eastAsia"/>
          <w:color w:val="auto"/>
        </w:rPr>
        <w:t>3 移动信贷功能概述</w:t>
      </w:r>
    </w:p>
    <w:p w14:paraId="23ED92E2">
      <w:pPr>
        <w:ind w:firstLine="420"/>
        <w:rPr>
          <w:color w:val="auto"/>
        </w:rPr>
      </w:pPr>
      <w:r>
        <w:rPr>
          <w:rFonts w:hint="eastAsia"/>
          <w:color w:val="auto"/>
        </w:rPr>
        <w:t>关于第一代移动作业平台现有移动信贷功能，将沿用现有技术方案和现有业务功能，迁移至第二代移动作业管理系统运行。</w:t>
      </w:r>
    </w:p>
    <w:p w14:paraId="6C28B7D3">
      <w:pPr>
        <w:pStyle w:val="4"/>
        <w:ind w:firstLine="422"/>
        <w:rPr>
          <w:color w:val="auto"/>
        </w:rPr>
      </w:pPr>
      <w:r>
        <w:rPr>
          <w:color w:val="auto"/>
        </w:rPr>
        <w:t>1.</w:t>
      </w:r>
      <w:r>
        <w:rPr>
          <w:rFonts w:hint="eastAsia"/>
          <w:color w:val="auto"/>
        </w:rPr>
        <w:t>4 数智厅堂功能概述</w:t>
      </w:r>
    </w:p>
    <w:p w14:paraId="7120FDAE">
      <w:pPr>
        <w:ind w:firstLine="420"/>
        <w:rPr>
          <w:color w:val="auto"/>
        </w:rPr>
      </w:pPr>
      <w:r>
        <w:rPr>
          <w:rFonts w:hint="eastAsia"/>
          <w:color w:val="auto"/>
        </w:rPr>
        <w:t>数智厅堂相关功能，将采用现行技术方案接入方式，保持现有业务授权，设备监控，厅堂排队管理等业务功能。</w:t>
      </w:r>
    </w:p>
    <w:p w14:paraId="19B0E8EF">
      <w:pPr>
        <w:pStyle w:val="4"/>
        <w:ind w:firstLine="422"/>
        <w:rPr>
          <w:color w:val="auto"/>
        </w:rPr>
      </w:pPr>
      <w:r>
        <w:rPr>
          <w:color w:val="auto"/>
        </w:rPr>
        <w:t>1.</w:t>
      </w:r>
      <w:r>
        <w:rPr>
          <w:rFonts w:hint="eastAsia"/>
          <w:color w:val="auto"/>
        </w:rPr>
        <w:t>5 管理系统功能概述</w:t>
      </w:r>
    </w:p>
    <w:tbl>
      <w:tblPr>
        <w:tblStyle w:val="19"/>
        <w:tblW w:w="0" w:type="auto"/>
        <w:tblInd w:w="108" w:type="dxa"/>
        <w:tblLayout w:type="autofit"/>
        <w:tblCellMar>
          <w:top w:w="0" w:type="dxa"/>
          <w:left w:w="108" w:type="dxa"/>
          <w:bottom w:w="0" w:type="dxa"/>
          <w:right w:w="108" w:type="dxa"/>
        </w:tblCellMar>
      </w:tblPr>
      <w:tblGrid>
        <w:gridCol w:w="1488"/>
        <w:gridCol w:w="2877"/>
        <w:gridCol w:w="4046"/>
      </w:tblGrid>
      <w:tr w14:paraId="49929B80">
        <w:tblPrEx>
          <w:tblCellMar>
            <w:top w:w="0" w:type="dxa"/>
            <w:left w:w="108" w:type="dxa"/>
            <w:bottom w:w="0" w:type="dxa"/>
            <w:right w:w="108" w:type="dxa"/>
          </w:tblCellMar>
        </w:tblPrEx>
        <w:trPr>
          <w:trHeight w:val="284" w:hRule="atLeast"/>
        </w:trPr>
        <w:tc>
          <w:tcPr>
            <w:tcW w:w="1489"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E4E1E1">
            <w:pPr>
              <w:pStyle w:val="44"/>
              <w:rPr>
                <w:color w:val="auto"/>
              </w:rPr>
            </w:pPr>
            <w:r>
              <w:rPr>
                <w:rFonts w:hint="eastAsia"/>
                <w:color w:val="auto"/>
              </w:rPr>
              <w:t>业务模块</w:t>
            </w: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1BA5267">
            <w:pPr>
              <w:pStyle w:val="44"/>
              <w:rPr>
                <w:color w:val="auto"/>
              </w:rPr>
            </w:pPr>
            <w:r>
              <w:rPr>
                <w:rFonts w:hint="eastAsia"/>
                <w:color w:val="auto"/>
              </w:rPr>
              <w:t>业务功能</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3F7EED8">
            <w:pPr>
              <w:pStyle w:val="44"/>
              <w:rPr>
                <w:color w:val="auto"/>
              </w:rPr>
            </w:pPr>
            <w:r>
              <w:rPr>
                <w:rFonts w:hint="eastAsia"/>
                <w:color w:val="auto"/>
              </w:rPr>
              <w:t>业务功能简述</w:t>
            </w:r>
          </w:p>
        </w:tc>
      </w:tr>
      <w:tr w14:paraId="0EE33C94">
        <w:tblPrEx>
          <w:tblCellMar>
            <w:top w:w="0" w:type="dxa"/>
            <w:left w:w="108" w:type="dxa"/>
            <w:bottom w:w="0" w:type="dxa"/>
            <w:right w:w="108" w:type="dxa"/>
          </w:tblCellMar>
        </w:tblPrEx>
        <w:trPr>
          <w:trHeight w:val="554" w:hRule="atLeast"/>
        </w:trPr>
        <w:tc>
          <w:tcPr>
            <w:tcW w:w="1489" w:type="dxa"/>
            <w:vMerge w:val="restart"/>
            <w:tcBorders>
              <w:top w:val="single" w:color="000000" w:sz="6" w:space="0"/>
              <w:left w:val="single" w:color="000000" w:sz="6" w:space="0"/>
              <w:bottom w:val="nil"/>
              <w:right w:val="single" w:color="000000" w:sz="6" w:space="0"/>
              <w:tl2br w:val="nil"/>
              <w:tr2bl w:val="nil"/>
            </w:tcBorders>
            <w:noWrap/>
            <w:vAlign w:val="center"/>
          </w:tcPr>
          <w:p w14:paraId="18645ED6">
            <w:pPr>
              <w:pStyle w:val="54"/>
              <w:rPr>
                <w:rFonts w:hint="default"/>
                <w:color w:val="auto"/>
              </w:rPr>
            </w:pPr>
            <w:r>
              <w:rPr>
                <w:color w:val="auto"/>
              </w:rPr>
              <w:t>基础信息管理</w:t>
            </w: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D96E958">
            <w:pPr>
              <w:pStyle w:val="54"/>
              <w:rPr>
                <w:rFonts w:hint="default"/>
                <w:color w:val="auto"/>
              </w:rPr>
            </w:pPr>
            <w:r>
              <w:rPr>
                <w:color w:val="auto"/>
              </w:rPr>
              <w:t>机构信息管理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82B841">
            <w:pPr>
              <w:pStyle w:val="43"/>
              <w:ind w:firstLine="420"/>
              <w:rPr>
                <w:color w:val="auto"/>
              </w:rPr>
            </w:pPr>
            <w:r>
              <w:rPr>
                <w:rFonts w:hint="eastAsia"/>
                <w:color w:val="auto"/>
              </w:rPr>
              <w:t>同步本行机构信息，在本行基础机构信息基础上开展机构管理，权限控制等功能。</w:t>
            </w:r>
          </w:p>
        </w:tc>
      </w:tr>
      <w:tr w14:paraId="5CF5CB22">
        <w:tblPrEx>
          <w:tblCellMar>
            <w:top w:w="0" w:type="dxa"/>
            <w:left w:w="108" w:type="dxa"/>
            <w:bottom w:w="0" w:type="dxa"/>
            <w:right w:w="108" w:type="dxa"/>
          </w:tblCellMar>
        </w:tblPrEx>
        <w:trPr>
          <w:trHeight w:val="1124" w:hRule="atLeast"/>
        </w:trPr>
        <w:tc>
          <w:tcPr>
            <w:tcW w:w="1489" w:type="dxa"/>
            <w:vMerge w:val="continue"/>
            <w:tcBorders>
              <w:top w:val="nil"/>
              <w:left w:val="single" w:color="000000" w:sz="6" w:space="0"/>
              <w:bottom w:val="nil"/>
              <w:right w:val="single" w:color="000000" w:sz="6" w:space="0"/>
              <w:tl2br w:val="nil"/>
              <w:tr2bl w:val="nil"/>
            </w:tcBorders>
            <w:noWrap/>
            <w:vAlign w:val="center"/>
          </w:tcPr>
          <w:p w14:paraId="3E97BEA0">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78E2B1">
            <w:pPr>
              <w:pStyle w:val="54"/>
              <w:rPr>
                <w:rFonts w:hint="default"/>
                <w:color w:val="auto"/>
              </w:rPr>
            </w:pPr>
            <w:r>
              <w:rPr>
                <w:color w:val="auto"/>
              </w:rPr>
              <w:t>人员信息管理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E9D8B4C">
            <w:pPr>
              <w:pStyle w:val="43"/>
              <w:ind w:firstLine="420"/>
              <w:rPr>
                <w:color w:val="auto"/>
              </w:rPr>
            </w:pPr>
            <w:r>
              <w:rPr>
                <w:rFonts w:hint="eastAsia"/>
                <w:color w:val="auto"/>
              </w:rPr>
              <w:t>同步本行人员信息，在基础员工信息基础上实现资质、权限、岗位、停用、统计、批量处理等功能。</w:t>
            </w:r>
          </w:p>
        </w:tc>
      </w:tr>
      <w:tr w14:paraId="06CA51E9">
        <w:tblPrEx>
          <w:tblCellMar>
            <w:top w:w="0" w:type="dxa"/>
            <w:left w:w="108" w:type="dxa"/>
            <w:bottom w:w="0" w:type="dxa"/>
            <w:right w:w="108" w:type="dxa"/>
          </w:tblCellMar>
        </w:tblPrEx>
        <w:trPr>
          <w:trHeight w:val="569" w:hRule="atLeast"/>
        </w:trPr>
        <w:tc>
          <w:tcPr>
            <w:tcW w:w="1489" w:type="dxa"/>
            <w:vMerge w:val="continue"/>
            <w:tcBorders>
              <w:top w:val="nil"/>
              <w:left w:val="single" w:color="000000" w:sz="6" w:space="0"/>
              <w:bottom w:val="single" w:color="000000" w:sz="6" w:space="0"/>
              <w:right w:val="single" w:color="000000" w:sz="6" w:space="0"/>
              <w:tl2br w:val="nil"/>
              <w:tr2bl w:val="nil"/>
            </w:tcBorders>
            <w:noWrap/>
            <w:vAlign w:val="center"/>
          </w:tcPr>
          <w:p w14:paraId="5C7EC01A">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59C7CBE">
            <w:pPr>
              <w:pStyle w:val="54"/>
              <w:rPr>
                <w:rFonts w:hint="default"/>
                <w:color w:val="auto"/>
              </w:rPr>
            </w:pPr>
            <w:r>
              <w:rPr>
                <w:color w:val="auto"/>
              </w:rPr>
              <w:t>业务功能参数设置</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F6A2996">
            <w:pPr>
              <w:pStyle w:val="43"/>
              <w:ind w:firstLine="420"/>
              <w:rPr>
                <w:color w:val="auto"/>
              </w:rPr>
            </w:pPr>
            <w:r>
              <w:rPr>
                <w:rFonts w:hint="eastAsia"/>
                <w:color w:val="auto"/>
              </w:rPr>
              <w:t>根据前端功能实现各个业务，渠道，权限，控制流程设置。</w:t>
            </w:r>
          </w:p>
        </w:tc>
      </w:tr>
      <w:tr w14:paraId="53B2411F">
        <w:tblPrEx>
          <w:tblCellMar>
            <w:top w:w="0" w:type="dxa"/>
            <w:left w:w="108" w:type="dxa"/>
            <w:bottom w:w="0" w:type="dxa"/>
            <w:right w:w="108" w:type="dxa"/>
          </w:tblCellMar>
        </w:tblPrEx>
        <w:trPr>
          <w:trHeight w:val="629" w:hRule="atLeast"/>
        </w:trPr>
        <w:tc>
          <w:tcPr>
            <w:tcW w:w="1489" w:type="dxa"/>
            <w:vMerge w:val="restart"/>
            <w:tcBorders>
              <w:top w:val="single" w:color="000000" w:sz="6" w:space="0"/>
              <w:left w:val="single" w:color="000000" w:sz="6" w:space="0"/>
              <w:bottom w:val="nil"/>
              <w:right w:val="single" w:color="000000" w:sz="6" w:space="0"/>
              <w:tl2br w:val="nil"/>
              <w:tr2bl w:val="nil"/>
            </w:tcBorders>
            <w:noWrap/>
            <w:vAlign w:val="center"/>
          </w:tcPr>
          <w:p w14:paraId="1AB51922">
            <w:pPr>
              <w:pStyle w:val="54"/>
              <w:rPr>
                <w:rFonts w:hint="default"/>
                <w:color w:val="auto"/>
              </w:rPr>
            </w:pPr>
            <w:r>
              <w:rPr>
                <w:color w:val="auto"/>
              </w:rPr>
              <w:t>岗位权限管理</w:t>
            </w: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091FDC0">
            <w:pPr>
              <w:pStyle w:val="54"/>
              <w:rPr>
                <w:rFonts w:hint="default"/>
                <w:color w:val="auto"/>
              </w:rPr>
            </w:pPr>
            <w:r>
              <w:rPr>
                <w:color w:val="auto"/>
              </w:rPr>
              <w:t>岗位管理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BC084C4">
            <w:pPr>
              <w:pStyle w:val="43"/>
              <w:ind w:firstLine="420"/>
              <w:rPr>
                <w:color w:val="auto"/>
              </w:rPr>
            </w:pPr>
            <w:r>
              <w:rPr>
                <w:rFonts w:hint="eastAsia"/>
                <w:color w:val="auto"/>
              </w:rPr>
              <w:t>根据本行岗位设置，灵活调整以适配前端、后台应用。</w:t>
            </w:r>
          </w:p>
        </w:tc>
      </w:tr>
      <w:tr w14:paraId="477E0883">
        <w:tblPrEx>
          <w:tblCellMar>
            <w:top w:w="0" w:type="dxa"/>
            <w:left w:w="108" w:type="dxa"/>
            <w:bottom w:w="0" w:type="dxa"/>
            <w:right w:w="108" w:type="dxa"/>
          </w:tblCellMar>
        </w:tblPrEx>
        <w:trPr>
          <w:trHeight w:val="524" w:hRule="atLeast"/>
        </w:trPr>
        <w:tc>
          <w:tcPr>
            <w:tcW w:w="1489" w:type="dxa"/>
            <w:vMerge w:val="continue"/>
            <w:tcBorders>
              <w:top w:val="nil"/>
              <w:left w:val="single" w:color="000000" w:sz="6" w:space="0"/>
              <w:bottom w:val="single" w:color="000000" w:sz="6" w:space="0"/>
              <w:right w:val="single" w:color="000000" w:sz="6" w:space="0"/>
              <w:tl2br w:val="nil"/>
              <w:tr2bl w:val="nil"/>
            </w:tcBorders>
            <w:noWrap/>
            <w:vAlign w:val="center"/>
          </w:tcPr>
          <w:p w14:paraId="78792E15">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BE9C414">
            <w:pPr>
              <w:pStyle w:val="54"/>
              <w:rPr>
                <w:rFonts w:hint="default"/>
                <w:color w:val="auto"/>
              </w:rPr>
            </w:pPr>
            <w:r>
              <w:rPr>
                <w:color w:val="auto"/>
              </w:rPr>
              <w:t>权限管理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32141533">
            <w:pPr>
              <w:pStyle w:val="43"/>
              <w:ind w:firstLine="420"/>
              <w:rPr>
                <w:color w:val="auto"/>
              </w:rPr>
            </w:pPr>
            <w:r>
              <w:rPr>
                <w:rFonts w:hint="eastAsia"/>
                <w:color w:val="auto"/>
              </w:rPr>
              <w:t>可对用户权限做配置化管理。</w:t>
            </w:r>
          </w:p>
        </w:tc>
      </w:tr>
      <w:tr w14:paraId="420A24F9">
        <w:tblPrEx>
          <w:tblCellMar>
            <w:top w:w="0" w:type="dxa"/>
            <w:left w:w="108" w:type="dxa"/>
            <w:bottom w:w="0" w:type="dxa"/>
            <w:right w:w="108" w:type="dxa"/>
          </w:tblCellMar>
        </w:tblPrEx>
        <w:trPr>
          <w:trHeight w:val="524" w:hRule="atLeast"/>
        </w:trPr>
        <w:tc>
          <w:tcPr>
            <w:tcW w:w="1489" w:type="dxa"/>
            <w:tcBorders>
              <w:top w:val="single" w:color="000000" w:sz="6" w:space="0"/>
              <w:left w:val="single" w:color="000000" w:sz="6" w:space="0"/>
              <w:bottom w:val="nil"/>
              <w:right w:val="single" w:color="000000" w:sz="6" w:space="0"/>
              <w:tl2br w:val="nil"/>
              <w:tr2bl w:val="nil"/>
            </w:tcBorders>
            <w:noWrap/>
            <w:vAlign w:val="center"/>
          </w:tcPr>
          <w:p w14:paraId="49197244">
            <w:pPr>
              <w:pStyle w:val="54"/>
              <w:rPr>
                <w:rFonts w:hint="default"/>
                <w:color w:val="auto"/>
              </w:rPr>
            </w:pPr>
            <w:r>
              <w:rPr>
                <w:color w:val="auto"/>
              </w:rPr>
              <w:t>公告管理</w:t>
            </w: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0416B06">
            <w:pPr>
              <w:pStyle w:val="54"/>
              <w:rPr>
                <w:rFonts w:hint="default"/>
                <w:color w:val="auto"/>
              </w:rPr>
            </w:pPr>
            <w:r>
              <w:rPr>
                <w:color w:val="auto"/>
              </w:rPr>
              <w:t>重要公告提示</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B3BA98">
            <w:pPr>
              <w:pStyle w:val="43"/>
              <w:ind w:firstLine="420"/>
              <w:rPr>
                <w:color w:val="auto"/>
              </w:rPr>
            </w:pPr>
            <w:r>
              <w:rPr>
                <w:rFonts w:hint="eastAsia"/>
                <w:color w:val="auto"/>
              </w:rPr>
              <w:t>根据需要可不定期进行公告提示，可设置接收用户组。</w:t>
            </w:r>
          </w:p>
        </w:tc>
      </w:tr>
      <w:tr w14:paraId="1874DD93">
        <w:tblPrEx>
          <w:tblCellMar>
            <w:top w:w="0" w:type="dxa"/>
            <w:left w:w="108" w:type="dxa"/>
            <w:bottom w:w="0" w:type="dxa"/>
            <w:right w:w="108" w:type="dxa"/>
          </w:tblCellMar>
        </w:tblPrEx>
        <w:trPr>
          <w:trHeight w:val="524" w:hRule="atLeast"/>
        </w:trPr>
        <w:tc>
          <w:tcPr>
            <w:tcW w:w="1489" w:type="dxa"/>
            <w:vMerge w:val="restart"/>
            <w:tcBorders>
              <w:top w:val="single" w:color="000000" w:sz="6" w:space="0"/>
              <w:left w:val="single" w:color="000000" w:sz="6" w:space="0"/>
              <w:bottom w:val="nil"/>
              <w:right w:val="single" w:color="000000" w:sz="6" w:space="0"/>
              <w:tl2br w:val="nil"/>
              <w:tr2bl w:val="nil"/>
            </w:tcBorders>
            <w:noWrap/>
            <w:vAlign w:val="center"/>
          </w:tcPr>
          <w:p w14:paraId="1A393070">
            <w:pPr>
              <w:pStyle w:val="54"/>
              <w:rPr>
                <w:rFonts w:hint="default"/>
                <w:color w:val="auto"/>
              </w:rPr>
            </w:pPr>
            <w:r>
              <w:rPr>
                <w:color w:val="auto"/>
              </w:rPr>
              <w:t>业务管理</w:t>
            </w: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F03F335">
            <w:pPr>
              <w:pStyle w:val="54"/>
              <w:rPr>
                <w:rFonts w:hint="default"/>
                <w:color w:val="auto"/>
              </w:rPr>
            </w:pPr>
            <w:r>
              <w:rPr>
                <w:color w:val="auto"/>
              </w:rPr>
              <w:t>业务流水查询</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5960CC5">
            <w:pPr>
              <w:pStyle w:val="43"/>
              <w:ind w:firstLine="420"/>
              <w:rPr>
                <w:color w:val="auto"/>
              </w:rPr>
            </w:pPr>
            <w:r>
              <w:rPr>
                <w:rFonts w:hint="eastAsia"/>
                <w:color w:val="auto"/>
              </w:rPr>
              <w:t>支持业务流水，交易日志等查询。</w:t>
            </w:r>
          </w:p>
        </w:tc>
      </w:tr>
      <w:tr w14:paraId="41D41725">
        <w:tblPrEx>
          <w:tblCellMar>
            <w:top w:w="0" w:type="dxa"/>
            <w:left w:w="108" w:type="dxa"/>
            <w:bottom w:w="0" w:type="dxa"/>
            <w:right w:w="108" w:type="dxa"/>
          </w:tblCellMar>
        </w:tblPrEx>
        <w:trPr>
          <w:trHeight w:val="524" w:hRule="atLeast"/>
        </w:trPr>
        <w:tc>
          <w:tcPr>
            <w:tcW w:w="1489" w:type="dxa"/>
            <w:vMerge w:val="continue"/>
            <w:tcBorders>
              <w:top w:val="single" w:color="000000" w:sz="6" w:space="0"/>
              <w:left w:val="single" w:color="000000" w:sz="6" w:space="0"/>
              <w:bottom w:val="nil"/>
              <w:right w:val="single" w:color="000000" w:sz="6" w:space="0"/>
              <w:tl2br w:val="nil"/>
              <w:tr2bl w:val="nil"/>
            </w:tcBorders>
            <w:noWrap/>
            <w:vAlign w:val="center"/>
          </w:tcPr>
          <w:p w14:paraId="56651B8E">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DEF78A">
            <w:pPr>
              <w:pStyle w:val="54"/>
              <w:rPr>
                <w:rFonts w:hint="default"/>
                <w:color w:val="auto"/>
              </w:rPr>
            </w:pPr>
            <w:r>
              <w:rPr>
                <w:color w:val="auto"/>
              </w:rPr>
              <w:t>业务实时监控视图</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27CB6AFC">
            <w:pPr>
              <w:pStyle w:val="43"/>
              <w:ind w:firstLine="420"/>
              <w:rPr>
                <w:color w:val="auto"/>
              </w:rPr>
            </w:pPr>
            <w:r>
              <w:rPr>
                <w:rFonts w:hint="eastAsia"/>
                <w:color w:val="auto"/>
              </w:rPr>
              <w:t>支持查看正在办理中的交易量等。</w:t>
            </w:r>
          </w:p>
        </w:tc>
      </w:tr>
      <w:tr w14:paraId="43E6446F">
        <w:tblPrEx>
          <w:tblCellMar>
            <w:top w:w="0" w:type="dxa"/>
            <w:left w:w="108" w:type="dxa"/>
            <w:bottom w:w="0" w:type="dxa"/>
            <w:right w:w="108" w:type="dxa"/>
          </w:tblCellMar>
        </w:tblPrEx>
        <w:trPr>
          <w:trHeight w:val="524" w:hRule="atLeast"/>
        </w:trPr>
        <w:tc>
          <w:tcPr>
            <w:tcW w:w="1489" w:type="dxa"/>
            <w:vMerge w:val="continue"/>
            <w:tcBorders>
              <w:top w:val="nil"/>
              <w:left w:val="single" w:color="000000" w:sz="6" w:space="0"/>
              <w:bottom w:val="nil"/>
              <w:right w:val="single" w:color="000000" w:sz="6" w:space="0"/>
              <w:tl2br w:val="nil"/>
              <w:tr2bl w:val="nil"/>
            </w:tcBorders>
            <w:noWrap/>
            <w:vAlign w:val="center"/>
          </w:tcPr>
          <w:p w14:paraId="0088B8DE">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1828C8A2">
            <w:pPr>
              <w:pStyle w:val="54"/>
              <w:rPr>
                <w:rFonts w:hint="default"/>
                <w:color w:val="auto"/>
              </w:rPr>
            </w:pPr>
            <w:r>
              <w:rPr>
                <w:color w:val="auto"/>
              </w:rPr>
              <w:t>待办任务管理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FA5BA3A">
            <w:pPr>
              <w:pStyle w:val="43"/>
              <w:ind w:firstLine="420"/>
              <w:rPr>
                <w:color w:val="auto"/>
              </w:rPr>
            </w:pPr>
            <w:r>
              <w:rPr>
                <w:rFonts w:hint="eastAsia"/>
                <w:color w:val="auto"/>
              </w:rPr>
              <w:t>支持查看、处理待办任务。</w:t>
            </w:r>
          </w:p>
        </w:tc>
      </w:tr>
      <w:tr w14:paraId="7BD1E75E">
        <w:tblPrEx>
          <w:tblCellMar>
            <w:top w:w="0" w:type="dxa"/>
            <w:left w:w="108" w:type="dxa"/>
            <w:bottom w:w="0" w:type="dxa"/>
            <w:right w:w="108" w:type="dxa"/>
          </w:tblCellMar>
        </w:tblPrEx>
        <w:trPr>
          <w:trHeight w:val="524" w:hRule="atLeast"/>
        </w:trPr>
        <w:tc>
          <w:tcPr>
            <w:tcW w:w="1489" w:type="dxa"/>
            <w:vMerge w:val="continue"/>
            <w:tcBorders>
              <w:top w:val="nil"/>
              <w:left w:val="single" w:color="000000" w:sz="6" w:space="0"/>
              <w:bottom w:val="nil"/>
              <w:right w:val="single" w:color="000000" w:sz="6" w:space="0"/>
              <w:tl2br w:val="nil"/>
              <w:tr2bl w:val="nil"/>
            </w:tcBorders>
            <w:noWrap/>
            <w:vAlign w:val="center"/>
          </w:tcPr>
          <w:p w14:paraId="73DC3435">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CBC5F2">
            <w:pPr>
              <w:pStyle w:val="54"/>
              <w:rPr>
                <w:rFonts w:hint="default"/>
                <w:color w:val="auto"/>
              </w:rPr>
            </w:pPr>
            <w:r>
              <w:rPr>
                <w:color w:val="auto"/>
              </w:rPr>
              <w:t>业务报表统计查询</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6175B5F2">
            <w:pPr>
              <w:pStyle w:val="43"/>
              <w:ind w:firstLine="420"/>
              <w:rPr>
                <w:color w:val="auto"/>
              </w:rPr>
            </w:pPr>
            <w:r>
              <w:rPr>
                <w:rFonts w:hint="eastAsia"/>
                <w:color w:val="auto"/>
              </w:rPr>
              <w:t>支持交易笔数。</w:t>
            </w:r>
          </w:p>
        </w:tc>
      </w:tr>
      <w:tr w14:paraId="6071FA96">
        <w:tblPrEx>
          <w:tblCellMar>
            <w:top w:w="0" w:type="dxa"/>
            <w:left w:w="108" w:type="dxa"/>
            <w:bottom w:w="0" w:type="dxa"/>
            <w:right w:w="108" w:type="dxa"/>
          </w:tblCellMar>
        </w:tblPrEx>
        <w:trPr>
          <w:trHeight w:val="524" w:hRule="atLeast"/>
        </w:trPr>
        <w:tc>
          <w:tcPr>
            <w:tcW w:w="1489" w:type="dxa"/>
            <w:vMerge w:val="continue"/>
            <w:tcBorders>
              <w:top w:val="nil"/>
              <w:left w:val="single" w:color="000000" w:sz="6" w:space="0"/>
              <w:bottom w:val="nil"/>
              <w:right w:val="single" w:color="000000" w:sz="6" w:space="0"/>
              <w:tl2br w:val="nil"/>
              <w:tr2bl w:val="nil"/>
            </w:tcBorders>
            <w:noWrap/>
            <w:vAlign w:val="center"/>
          </w:tcPr>
          <w:p w14:paraId="3EA5F4EA">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7FB180E8">
            <w:pPr>
              <w:pStyle w:val="54"/>
              <w:rPr>
                <w:rFonts w:hint="default"/>
                <w:color w:val="auto"/>
              </w:rPr>
            </w:pPr>
            <w:r>
              <w:rPr>
                <w:color w:val="auto"/>
              </w:rPr>
              <w:t>授权统计报表查询</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57AB448F">
            <w:pPr>
              <w:pStyle w:val="43"/>
              <w:ind w:firstLine="420"/>
              <w:rPr>
                <w:color w:val="auto"/>
              </w:rPr>
            </w:pPr>
            <w:r>
              <w:rPr>
                <w:rFonts w:hint="eastAsia"/>
                <w:color w:val="auto"/>
              </w:rPr>
              <w:t>支持查看授权统计信息。</w:t>
            </w:r>
          </w:p>
        </w:tc>
      </w:tr>
      <w:tr w14:paraId="1DE3AEB6">
        <w:tblPrEx>
          <w:tblCellMar>
            <w:top w:w="0" w:type="dxa"/>
            <w:left w:w="108" w:type="dxa"/>
            <w:bottom w:w="0" w:type="dxa"/>
            <w:right w:w="108" w:type="dxa"/>
          </w:tblCellMar>
        </w:tblPrEx>
        <w:trPr>
          <w:trHeight w:val="524" w:hRule="atLeast"/>
        </w:trPr>
        <w:tc>
          <w:tcPr>
            <w:tcW w:w="1489" w:type="dxa"/>
            <w:vMerge w:val="continue"/>
            <w:tcBorders>
              <w:top w:val="nil"/>
              <w:left w:val="single" w:color="000000" w:sz="6" w:space="0"/>
              <w:bottom w:val="single" w:color="auto" w:sz="4" w:space="0"/>
              <w:right w:val="single" w:color="000000" w:sz="6" w:space="0"/>
              <w:tl2br w:val="nil"/>
              <w:tr2bl w:val="nil"/>
            </w:tcBorders>
            <w:noWrap/>
            <w:vAlign w:val="center"/>
          </w:tcPr>
          <w:p w14:paraId="0FA74821">
            <w:pPr>
              <w:pStyle w:val="54"/>
              <w:rPr>
                <w:rFonts w:hint="default"/>
                <w:color w:val="auto"/>
              </w:rPr>
            </w:pPr>
          </w:p>
        </w:tc>
        <w:tc>
          <w:tcPr>
            <w:tcW w:w="2878" w:type="dxa"/>
            <w:tcBorders>
              <w:top w:val="single" w:color="000000" w:sz="6" w:space="0"/>
              <w:left w:val="single" w:color="000000" w:sz="6" w:space="0"/>
              <w:bottom w:val="single" w:color="auto" w:sz="4" w:space="0"/>
              <w:right w:val="single" w:color="000000" w:sz="6" w:space="0"/>
              <w:tl2br w:val="nil"/>
              <w:tr2bl w:val="nil"/>
            </w:tcBorders>
            <w:noWrap/>
            <w:vAlign w:val="center"/>
          </w:tcPr>
          <w:p w14:paraId="1F86C23A">
            <w:pPr>
              <w:pStyle w:val="54"/>
              <w:rPr>
                <w:rFonts w:hint="default"/>
                <w:color w:val="auto"/>
              </w:rPr>
            </w:pPr>
            <w:r>
              <w:rPr>
                <w:color w:val="auto"/>
              </w:rPr>
              <w:t>业务办理时长统计查询</w:t>
            </w:r>
          </w:p>
        </w:tc>
        <w:tc>
          <w:tcPr>
            <w:tcW w:w="4047" w:type="dxa"/>
            <w:tcBorders>
              <w:top w:val="single" w:color="000000" w:sz="6" w:space="0"/>
              <w:left w:val="single" w:color="000000" w:sz="6" w:space="0"/>
              <w:bottom w:val="single" w:color="auto" w:sz="4" w:space="0"/>
              <w:right w:val="single" w:color="000000" w:sz="6" w:space="0"/>
              <w:tl2br w:val="nil"/>
              <w:tr2bl w:val="nil"/>
            </w:tcBorders>
            <w:noWrap/>
            <w:vAlign w:val="center"/>
          </w:tcPr>
          <w:p w14:paraId="0FD5F34E">
            <w:pPr>
              <w:pStyle w:val="43"/>
              <w:ind w:firstLine="420"/>
              <w:rPr>
                <w:color w:val="auto"/>
              </w:rPr>
            </w:pPr>
            <w:r>
              <w:rPr>
                <w:rFonts w:hint="eastAsia"/>
                <w:color w:val="auto"/>
              </w:rPr>
              <w:t>支持查看业务办理时长。</w:t>
            </w:r>
          </w:p>
        </w:tc>
      </w:tr>
      <w:tr w14:paraId="3B9831B3">
        <w:tblPrEx>
          <w:tblCellMar>
            <w:top w:w="0" w:type="dxa"/>
            <w:left w:w="108" w:type="dxa"/>
            <w:bottom w:w="0" w:type="dxa"/>
            <w:right w:w="108" w:type="dxa"/>
          </w:tblCellMar>
        </w:tblPrEx>
        <w:trPr>
          <w:trHeight w:val="524" w:hRule="atLeast"/>
        </w:trPr>
        <w:tc>
          <w:tcPr>
            <w:tcW w:w="1489"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42B23882">
            <w:pPr>
              <w:pStyle w:val="54"/>
              <w:rPr>
                <w:rFonts w:hint="default"/>
                <w:color w:val="auto"/>
              </w:rPr>
            </w:pPr>
            <w:r>
              <w:rPr>
                <w:color w:val="auto"/>
              </w:rPr>
              <w:t>系统管理</w:t>
            </w:r>
          </w:p>
        </w:tc>
        <w:tc>
          <w:tcPr>
            <w:tcW w:w="2878" w:type="dxa"/>
            <w:tcBorders>
              <w:top w:val="single" w:color="auto" w:sz="4" w:space="0"/>
              <w:left w:val="single" w:color="auto" w:sz="4" w:space="0"/>
              <w:bottom w:val="single" w:color="auto" w:sz="4" w:space="0"/>
              <w:right w:val="single" w:color="auto" w:sz="4" w:space="0"/>
              <w:tl2br w:val="nil"/>
              <w:tr2bl w:val="nil"/>
            </w:tcBorders>
            <w:noWrap/>
            <w:vAlign w:val="center"/>
          </w:tcPr>
          <w:p w14:paraId="4A2EBC80">
            <w:pPr>
              <w:pStyle w:val="54"/>
              <w:rPr>
                <w:rFonts w:hint="default"/>
                <w:color w:val="auto"/>
              </w:rPr>
            </w:pPr>
            <w:r>
              <w:rPr>
                <w:color w:val="auto"/>
              </w:rPr>
              <w:t>用户登录管理</w:t>
            </w:r>
          </w:p>
        </w:tc>
        <w:tc>
          <w:tcPr>
            <w:tcW w:w="4047" w:type="dxa"/>
            <w:tcBorders>
              <w:top w:val="single" w:color="auto" w:sz="4" w:space="0"/>
              <w:left w:val="single" w:color="auto" w:sz="4" w:space="0"/>
              <w:bottom w:val="single" w:color="auto" w:sz="4" w:space="0"/>
              <w:right w:val="single" w:color="auto" w:sz="4" w:space="0"/>
              <w:tl2br w:val="nil"/>
              <w:tr2bl w:val="nil"/>
            </w:tcBorders>
            <w:noWrap/>
            <w:vAlign w:val="center"/>
          </w:tcPr>
          <w:p w14:paraId="7E025C34">
            <w:pPr>
              <w:pStyle w:val="43"/>
              <w:ind w:firstLine="420"/>
              <w:rPr>
                <w:color w:val="auto"/>
              </w:rPr>
            </w:pPr>
            <w:r>
              <w:rPr>
                <w:rFonts w:hint="eastAsia"/>
                <w:color w:val="auto"/>
              </w:rPr>
              <w:t>用户登录，密码策略等管理控制。</w:t>
            </w:r>
          </w:p>
        </w:tc>
      </w:tr>
      <w:tr w14:paraId="5AD3AEED">
        <w:tblPrEx>
          <w:tblCellMar>
            <w:top w:w="0" w:type="dxa"/>
            <w:left w:w="108" w:type="dxa"/>
            <w:bottom w:w="0" w:type="dxa"/>
            <w:right w:w="108" w:type="dxa"/>
          </w:tblCellMar>
        </w:tblPrEx>
        <w:trPr>
          <w:trHeight w:val="524" w:hRule="atLeast"/>
        </w:trPr>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8B76EC7">
            <w:pPr>
              <w:pStyle w:val="54"/>
              <w:rPr>
                <w:rFonts w:hint="default"/>
                <w:color w:val="auto"/>
              </w:rPr>
            </w:pPr>
          </w:p>
        </w:tc>
        <w:tc>
          <w:tcPr>
            <w:tcW w:w="2878" w:type="dxa"/>
            <w:tcBorders>
              <w:top w:val="single" w:color="auto" w:sz="4" w:space="0"/>
              <w:left w:val="single" w:color="auto" w:sz="4" w:space="0"/>
              <w:bottom w:val="single" w:color="auto" w:sz="4" w:space="0"/>
              <w:right w:val="single" w:color="auto" w:sz="4" w:space="0"/>
              <w:tl2br w:val="nil"/>
              <w:tr2bl w:val="nil"/>
            </w:tcBorders>
            <w:noWrap/>
            <w:vAlign w:val="center"/>
          </w:tcPr>
          <w:p w14:paraId="10219E77">
            <w:pPr>
              <w:pStyle w:val="54"/>
              <w:rPr>
                <w:rFonts w:hint="default"/>
                <w:color w:val="auto"/>
              </w:rPr>
            </w:pPr>
            <w:r>
              <w:rPr>
                <w:color w:val="auto"/>
              </w:rPr>
              <w:t>用户信息查询</w:t>
            </w:r>
          </w:p>
        </w:tc>
        <w:tc>
          <w:tcPr>
            <w:tcW w:w="4047" w:type="dxa"/>
            <w:tcBorders>
              <w:top w:val="single" w:color="auto" w:sz="4" w:space="0"/>
              <w:left w:val="single" w:color="auto" w:sz="4" w:space="0"/>
              <w:bottom w:val="single" w:color="000000" w:sz="6" w:space="0"/>
              <w:right w:val="single" w:color="000000" w:sz="6" w:space="0"/>
              <w:tl2br w:val="nil"/>
              <w:tr2bl w:val="nil"/>
            </w:tcBorders>
            <w:noWrap/>
            <w:vAlign w:val="center"/>
          </w:tcPr>
          <w:p w14:paraId="74C8EA5C">
            <w:pPr>
              <w:pStyle w:val="43"/>
              <w:ind w:firstLine="420"/>
              <w:rPr>
                <w:color w:val="auto"/>
              </w:rPr>
            </w:pPr>
            <w:r>
              <w:rPr>
                <w:rFonts w:hint="eastAsia"/>
                <w:color w:val="auto"/>
              </w:rPr>
              <w:t>用户信息查询。</w:t>
            </w:r>
          </w:p>
        </w:tc>
      </w:tr>
      <w:tr w14:paraId="5788B5FF">
        <w:tblPrEx>
          <w:tblCellMar>
            <w:top w:w="0" w:type="dxa"/>
            <w:left w:w="108" w:type="dxa"/>
            <w:bottom w:w="0" w:type="dxa"/>
            <w:right w:w="108" w:type="dxa"/>
          </w:tblCellMar>
        </w:tblPrEx>
        <w:trPr>
          <w:trHeight w:val="524" w:hRule="atLeast"/>
        </w:trPr>
        <w:tc>
          <w:tcPr>
            <w:tcW w:w="1489"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5EA9C55">
            <w:pPr>
              <w:pStyle w:val="54"/>
              <w:rPr>
                <w:rFonts w:hint="default"/>
                <w:color w:val="auto"/>
              </w:rPr>
            </w:pPr>
          </w:p>
        </w:tc>
        <w:tc>
          <w:tcPr>
            <w:tcW w:w="2878" w:type="dxa"/>
            <w:tcBorders>
              <w:top w:val="single" w:color="auto" w:sz="4" w:space="0"/>
              <w:left w:val="single" w:color="auto" w:sz="4" w:space="0"/>
              <w:bottom w:val="single" w:color="auto" w:sz="4" w:space="0"/>
              <w:right w:val="single" w:color="auto" w:sz="4" w:space="0"/>
              <w:tl2br w:val="nil"/>
              <w:tr2bl w:val="nil"/>
            </w:tcBorders>
            <w:noWrap/>
            <w:vAlign w:val="center"/>
          </w:tcPr>
          <w:p w14:paraId="147C2161">
            <w:pPr>
              <w:pStyle w:val="54"/>
              <w:rPr>
                <w:rFonts w:hint="default"/>
                <w:color w:val="auto"/>
              </w:rPr>
            </w:pPr>
            <w:r>
              <w:rPr>
                <w:color w:val="auto"/>
              </w:rPr>
              <w:t>用户操作记录查询</w:t>
            </w:r>
          </w:p>
        </w:tc>
        <w:tc>
          <w:tcPr>
            <w:tcW w:w="4047" w:type="dxa"/>
            <w:tcBorders>
              <w:top w:val="single" w:color="000000" w:sz="6" w:space="0"/>
              <w:left w:val="single" w:color="auto" w:sz="4" w:space="0"/>
              <w:bottom w:val="single" w:color="000000" w:sz="6" w:space="0"/>
              <w:right w:val="single" w:color="000000" w:sz="6" w:space="0"/>
              <w:tl2br w:val="nil"/>
              <w:tr2bl w:val="nil"/>
            </w:tcBorders>
            <w:noWrap/>
            <w:vAlign w:val="center"/>
          </w:tcPr>
          <w:p w14:paraId="79193810">
            <w:pPr>
              <w:pStyle w:val="43"/>
              <w:ind w:firstLine="420"/>
              <w:rPr>
                <w:color w:val="auto"/>
              </w:rPr>
            </w:pPr>
            <w:r>
              <w:rPr>
                <w:rFonts w:hint="eastAsia"/>
                <w:color w:val="auto"/>
              </w:rPr>
              <w:t>记录各渠道用户登录操作记录。</w:t>
            </w:r>
          </w:p>
        </w:tc>
      </w:tr>
      <w:tr w14:paraId="78B1077A">
        <w:tblPrEx>
          <w:tblCellMar>
            <w:top w:w="0" w:type="dxa"/>
            <w:left w:w="108" w:type="dxa"/>
            <w:bottom w:w="0" w:type="dxa"/>
            <w:right w:w="108" w:type="dxa"/>
          </w:tblCellMar>
        </w:tblPrEx>
        <w:trPr>
          <w:trHeight w:val="989" w:hRule="atLeast"/>
        </w:trPr>
        <w:tc>
          <w:tcPr>
            <w:tcW w:w="1489" w:type="dxa"/>
            <w:vMerge w:val="restart"/>
            <w:tcBorders>
              <w:top w:val="single" w:color="auto" w:sz="4" w:space="0"/>
              <w:left w:val="single" w:color="000000" w:sz="6" w:space="0"/>
              <w:bottom w:val="nil"/>
              <w:right w:val="single" w:color="000000" w:sz="6" w:space="0"/>
              <w:tl2br w:val="nil"/>
              <w:tr2bl w:val="nil"/>
            </w:tcBorders>
            <w:noWrap/>
            <w:vAlign w:val="center"/>
          </w:tcPr>
          <w:p w14:paraId="32BADEF7">
            <w:pPr>
              <w:pStyle w:val="54"/>
              <w:rPr>
                <w:rFonts w:hint="default"/>
                <w:color w:val="auto"/>
              </w:rPr>
            </w:pPr>
            <w:r>
              <w:rPr>
                <w:color w:val="auto"/>
              </w:rPr>
              <w:t>设备管理</w:t>
            </w:r>
          </w:p>
        </w:tc>
        <w:tc>
          <w:tcPr>
            <w:tcW w:w="2878" w:type="dxa"/>
            <w:tcBorders>
              <w:top w:val="single" w:color="auto" w:sz="4" w:space="0"/>
              <w:left w:val="single" w:color="000000" w:sz="6" w:space="0"/>
              <w:bottom w:val="single" w:color="000000" w:sz="6" w:space="0"/>
              <w:right w:val="single" w:color="000000" w:sz="6" w:space="0"/>
              <w:tl2br w:val="nil"/>
              <w:tr2bl w:val="nil"/>
            </w:tcBorders>
            <w:noWrap/>
            <w:vAlign w:val="center"/>
          </w:tcPr>
          <w:p w14:paraId="46086FB7">
            <w:pPr>
              <w:pStyle w:val="54"/>
              <w:rPr>
                <w:rFonts w:hint="default"/>
                <w:color w:val="auto"/>
              </w:rPr>
            </w:pPr>
            <w:r>
              <w:rPr>
                <w:color w:val="auto"/>
              </w:rPr>
              <w:t>设备监控管理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CB28BFB">
            <w:pPr>
              <w:pStyle w:val="43"/>
              <w:ind w:firstLine="420"/>
              <w:rPr>
                <w:color w:val="auto"/>
              </w:rPr>
            </w:pPr>
            <w:r>
              <w:rPr>
                <w:rFonts w:hint="eastAsia"/>
                <w:color w:val="auto"/>
              </w:rPr>
              <w:t>包括设备登录准入，业务实时监控，远程锁定，业务异常报警，位置异常检测，网络安全监控等功能。</w:t>
            </w:r>
          </w:p>
        </w:tc>
      </w:tr>
      <w:tr w14:paraId="26340277">
        <w:tblPrEx>
          <w:tblCellMar>
            <w:top w:w="0" w:type="dxa"/>
            <w:left w:w="108" w:type="dxa"/>
            <w:bottom w:w="0" w:type="dxa"/>
            <w:right w:w="108" w:type="dxa"/>
          </w:tblCellMar>
        </w:tblPrEx>
        <w:trPr>
          <w:trHeight w:val="599" w:hRule="atLeast"/>
        </w:trPr>
        <w:tc>
          <w:tcPr>
            <w:tcW w:w="1489" w:type="dxa"/>
            <w:vMerge w:val="continue"/>
            <w:tcBorders>
              <w:top w:val="nil"/>
              <w:left w:val="single" w:color="000000" w:sz="6" w:space="0"/>
              <w:bottom w:val="single" w:color="000000" w:sz="6" w:space="0"/>
              <w:right w:val="single" w:color="000000" w:sz="6" w:space="0"/>
              <w:tl2br w:val="nil"/>
              <w:tr2bl w:val="nil"/>
            </w:tcBorders>
            <w:noWrap/>
            <w:vAlign w:val="center"/>
          </w:tcPr>
          <w:p w14:paraId="3A78D7B8">
            <w:pPr>
              <w:pStyle w:val="54"/>
              <w:rPr>
                <w:rFonts w:hint="default"/>
                <w:color w:val="auto"/>
              </w:rPr>
            </w:pPr>
          </w:p>
        </w:tc>
        <w:tc>
          <w:tcPr>
            <w:tcW w:w="2878"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48F8862F">
            <w:pPr>
              <w:pStyle w:val="54"/>
              <w:rPr>
                <w:rFonts w:hint="default"/>
                <w:color w:val="auto"/>
              </w:rPr>
            </w:pPr>
            <w:r>
              <w:rPr>
                <w:color w:val="auto"/>
              </w:rPr>
              <w:t>版本升级管理</w:t>
            </w:r>
          </w:p>
        </w:tc>
        <w:tc>
          <w:tcPr>
            <w:tcW w:w="4047" w:type="dxa"/>
            <w:tcBorders>
              <w:top w:val="single" w:color="000000" w:sz="6" w:space="0"/>
              <w:left w:val="single" w:color="000000" w:sz="6" w:space="0"/>
              <w:bottom w:val="single" w:color="000000" w:sz="6" w:space="0"/>
              <w:right w:val="single" w:color="000000" w:sz="6" w:space="0"/>
              <w:tl2br w:val="nil"/>
              <w:tr2bl w:val="nil"/>
            </w:tcBorders>
            <w:noWrap/>
            <w:vAlign w:val="center"/>
          </w:tcPr>
          <w:p w14:paraId="014098D6">
            <w:pPr>
              <w:pStyle w:val="43"/>
              <w:ind w:firstLine="420"/>
              <w:rPr>
                <w:color w:val="auto"/>
              </w:rPr>
            </w:pPr>
            <w:r>
              <w:rPr>
                <w:rFonts w:hint="eastAsia"/>
                <w:color w:val="auto"/>
              </w:rPr>
              <w:t>设备版本监控，版本控制，应用升级等功能。</w:t>
            </w:r>
          </w:p>
        </w:tc>
      </w:tr>
    </w:tbl>
    <w:p w14:paraId="344F55F7">
      <w:pPr>
        <w:pStyle w:val="3"/>
        <w:rPr>
          <w:color w:val="auto"/>
        </w:rPr>
      </w:pPr>
      <w:r>
        <w:rPr>
          <w:color w:val="auto"/>
        </w:rPr>
        <w:t>2.</w:t>
      </w:r>
      <w:r>
        <w:rPr>
          <w:rFonts w:hint="eastAsia"/>
          <w:color w:val="auto"/>
        </w:rPr>
        <w:t>技术要求</w:t>
      </w:r>
    </w:p>
    <w:p w14:paraId="62A1B5B0">
      <w:pPr>
        <w:pStyle w:val="4"/>
        <w:ind w:firstLine="422"/>
        <w:rPr>
          <w:color w:val="auto"/>
        </w:rPr>
      </w:pPr>
      <w:r>
        <w:rPr>
          <w:rFonts w:hint="eastAsia"/>
          <w:color w:val="auto"/>
        </w:rPr>
        <w:t>2</w:t>
      </w:r>
      <w:r>
        <w:rPr>
          <w:color w:val="auto"/>
        </w:rPr>
        <w:t xml:space="preserve">.1 </w:t>
      </w:r>
      <w:r>
        <w:rPr>
          <w:rFonts w:hint="eastAsia"/>
          <w:color w:val="auto"/>
        </w:rPr>
        <w:t>总体原则</w:t>
      </w:r>
    </w:p>
    <w:p w14:paraId="70C41809">
      <w:pPr>
        <w:ind w:firstLine="420"/>
        <w:rPr>
          <w:color w:val="auto"/>
        </w:rPr>
      </w:pPr>
      <w:r>
        <w:rPr>
          <w:rFonts w:hint="eastAsia"/>
          <w:color w:val="auto"/>
        </w:rPr>
        <w:t>系统的建设应遵循集成性、先进性、可扩展性、稳定性、安全性、经济性、前瞻性和可维护性相结合的原则。</w:t>
      </w:r>
    </w:p>
    <w:p w14:paraId="2DDAF36D">
      <w:pPr>
        <w:ind w:firstLine="420"/>
        <w:rPr>
          <w:color w:val="auto"/>
        </w:rPr>
      </w:pPr>
      <w:r>
        <w:rPr>
          <w:color w:val="auto"/>
        </w:rPr>
        <w:t xml:space="preserve">2.1.1 </w:t>
      </w:r>
      <w:r>
        <w:rPr>
          <w:rFonts w:hint="eastAsia"/>
          <w:color w:val="auto"/>
        </w:rPr>
        <w:t>集成性：系统建设需充分考虑与其它系统的集成，能快速与采购人其它业务和管理系统的集成。</w:t>
      </w:r>
    </w:p>
    <w:p w14:paraId="43B974A3">
      <w:pPr>
        <w:ind w:firstLine="420"/>
        <w:rPr>
          <w:color w:val="auto"/>
        </w:rPr>
      </w:pPr>
      <w:r>
        <w:rPr>
          <w:color w:val="auto"/>
        </w:rPr>
        <w:t>2.1.</w:t>
      </w:r>
      <w:r>
        <w:rPr>
          <w:rFonts w:hint="eastAsia"/>
          <w:color w:val="auto"/>
        </w:rPr>
        <w:t>2 先进性：软件系统的选择与开发应在满足业务需求的基础上具有易改造、易升级、易操作、易维护等特点。</w:t>
      </w:r>
    </w:p>
    <w:p w14:paraId="3CBC7B77">
      <w:pPr>
        <w:ind w:firstLine="420"/>
        <w:rPr>
          <w:color w:val="auto"/>
        </w:rPr>
      </w:pPr>
      <w:r>
        <w:rPr>
          <w:color w:val="auto"/>
        </w:rPr>
        <w:t>2.1.</w:t>
      </w:r>
      <w:r>
        <w:rPr>
          <w:rFonts w:hint="eastAsia"/>
          <w:color w:val="auto"/>
        </w:rPr>
        <w:t>3 可扩展性：支持业务和系统的可扩展，支持行业应用可扩展，具有向后兼容的能力。</w:t>
      </w:r>
    </w:p>
    <w:p w14:paraId="25D94D70">
      <w:pPr>
        <w:ind w:firstLine="420"/>
        <w:rPr>
          <w:color w:val="auto"/>
        </w:rPr>
      </w:pPr>
      <w:r>
        <w:rPr>
          <w:color w:val="auto"/>
        </w:rPr>
        <w:t>2.1.</w:t>
      </w:r>
      <w:r>
        <w:rPr>
          <w:rFonts w:hint="eastAsia"/>
          <w:color w:val="auto"/>
        </w:rPr>
        <w:t>4 稳定性：系统要确保系统平稳运行，支持7×24小时连续运行，满足高峰处理的需要。</w:t>
      </w:r>
    </w:p>
    <w:p w14:paraId="1C7C86EC">
      <w:pPr>
        <w:ind w:firstLine="420"/>
        <w:rPr>
          <w:color w:val="auto"/>
        </w:rPr>
      </w:pPr>
      <w:r>
        <w:rPr>
          <w:color w:val="auto"/>
        </w:rPr>
        <w:t>2.1.</w:t>
      </w:r>
      <w:r>
        <w:rPr>
          <w:rFonts w:hint="eastAsia"/>
          <w:color w:val="auto"/>
        </w:rPr>
        <w:t>5 安全性：</w:t>
      </w:r>
    </w:p>
    <w:p w14:paraId="7050DF47">
      <w:pPr>
        <w:ind w:firstLine="420"/>
        <w:rPr>
          <w:color w:val="auto"/>
        </w:rPr>
      </w:pPr>
      <w:r>
        <w:rPr>
          <w:color w:val="auto"/>
        </w:rPr>
        <w:t>1</w:t>
      </w:r>
      <w:r>
        <w:rPr>
          <w:rFonts w:hint="eastAsia"/>
          <w:color w:val="auto"/>
        </w:rPr>
        <w:t>）系统必须建立在成熟稳定的硬件环境和应用软件基础上，通过完善的备份恢复策略、安全控制机制、可靠的运行管理监控和故障处理手段来保障系统的运行稳定、安全。</w:t>
      </w:r>
    </w:p>
    <w:p w14:paraId="699294EF">
      <w:pPr>
        <w:ind w:firstLine="420"/>
        <w:rPr>
          <w:color w:val="auto"/>
        </w:rPr>
      </w:pPr>
      <w:r>
        <w:rPr>
          <w:color w:val="auto"/>
        </w:rPr>
        <w:t>2</w:t>
      </w:r>
      <w:r>
        <w:rPr>
          <w:rFonts w:hint="eastAsia"/>
          <w:color w:val="auto"/>
        </w:rPr>
        <w:t>）制定并发布完善的隐私政策，引导客户“主动”阅读知晓；仅保留与业务处理相关的、必须的客户敏感信息，且采取强加密措施进行保存；不应在日志中记录客户支付敏感信息；不允许保留非本机构的客户敏感信息；采用信息输入安全防护、即时数据加密等安全措施防止数据被非法截获。</w:t>
      </w:r>
    </w:p>
    <w:p w14:paraId="376895A0">
      <w:pPr>
        <w:ind w:firstLine="420"/>
        <w:rPr>
          <w:color w:val="auto"/>
        </w:rPr>
      </w:pPr>
      <w:r>
        <w:rPr>
          <w:color w:val="auto"/>
        </w:rPr>
        <w:t>2.1.</w:t>
      </w:r>
      <w:r>
        <w:rPr>
          <w:rFonts w:hint="eastAsia"/>
          <w:color w:val="auto"/>
        </w:rPr>
        <w:t>6 经济性：系统的建设要考虑在网络、设备、信息安全等方面合理利用现有的资源。要充分调研，结合业务需求，合理利用现有资源，降低系统的投资，创造最优的工作效率，产生最好的经济效益。</w:t>
      </w:r>
    </w:p>
    <w:p w14:paraId="4240FE2E">
      <w:pPr>
        <w:ind w:firstLine="420"/>
        <w:rPr>
          <w:color w:val="auto"/>
        </w:rPr>
      </w:pPr>
      <w:r>
        <w:rPr>
          <w:color w:val="auto"/>
        </w:rPr>
        <w:t>2.1.</w:t>
      </w:r>
      <w:r>
        <w:rPr>
          <w:rFonts w:hint="eastAsia"/>
          <w:color w:val="auto"/>
        </w:rPr>
        <w:t>7 前瞻性：系统体系架构和软件体系结构要有前瞻性，要充分考虑未来业务的发展和管理的变化，方便对新业务和新需求的扩展和支持，合理设计系统的规模，使之不仅能满足目前应用的需要，而且能适应将来的发展。</w:t>
      </w:r>
    </w:p>
    <w:p w14:paraId="5264097F">
      <w:pPr>
        <w:ind w:firstLine="420"/>
        <w:rPr>
          <w:color w:val="auto"/>
        </w:rPr>
      </w:pPr>
      <w:r>
        <w:rPr>
          <w:color w:val="auto"/>
        </w:rPr>
        <w:t>2.1.</w:t>
      </w:r>
      <w:r>
        <w:rPr>
          <w:rFonts w:hint="eastAsia"/>
          <w:color w:val="auto"/>
        </w:rPr>
        <w:t>8 可维护性：系统可维护，运行成本可控。</w:t>
      </w:r>
    </w:p>
    <w:p w14:paraId="62CD1E5B">
      <w:pPr>
        <w:pStyle w:val="4"/>
        <w:ind w:firstLine="422"/>
        <w:rPr>
          <w:color w:val="auto"/>
        </w:rPr>
      </w:pPr>
      <w:r>
        <w:rPr>
          <w:rFonts w:hint="eastAsia"/>
          <w:color w:val="auto"/>
        </w:rPr>
        <w:t>2.2 用户体验要求</w:t>
      </w:r>
    </w:p>
    <w:p w14:paraId="7212855D">
      <w:pPr>
        <w:ind w:firstLine="420"/>
        <w:rPr>
          <w:color w:val="auto"/>
        </w:rPr>
      </w:pPr>
      <w:r>
        <w:rPr>
          <w:rFonts w:hint="eastAsia"/>
          <w:color w:val="auto"/>
        </w:rPr>
        <w:t>界面可根据用户需求灵活更改（增强标签分类特性），注重用户体验，使系统各项功能易见、易学、易用。</w:t>
      </w:r>
    </w:p>
    <w:p w14:paraId="4B9327BC">
      <w:pPr>
        <w:ind w:firstLine="420"/>
        <w:rPr>
          <w:color w:val="auto"/>
        </w:rPr>
      </w:pPr>
      <w:r>
        <w:rPr>
          <w:rFonts w:hint="eastAsia"/>
          <w:color w:val="auto"/>
        </w:rPr>
        <w:t>客户端界面一致性，支持不同终端适配界面（解决不同终端，屏幕尺寸的视觉差异）。图形显示直观，业务流程支持形象化。遵循20/80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14:paraId="67684750">
      <w:pPr>
        <w:pStyle w:val="4"/>
        <w:ind w:firstLine="422"/>
        <w:rPr>
          <w:color w:val="auto"/>
        </w:rPr>
      </w:pPr>
      <w:r>
        <w:rPr>
          <w:rFonts w:hint="eastAsia"/>
          <w:color w:val="auto"/>
        </w:rPr>
        <w:t>2</w:t>
      </w:r>
      <w:r>
        <w:rPr>
          <w:color w:val="auto"/>
        </w:rPr>
        <w:t xml:space="preserve">.3 </w:t>
      </w:r>
      <w:r>
        <w:rPr>
          <w:rFonts w:hint="eastAsia"/>
          <w:color w:val="auto"/>
        </w:rPr>
        <w:t>系统技术架构要求</w:t>
      </w:r>
    </w:p>
    <w:p w14:paraId="2684B71C">
      <w:pPr>
        <w:ind w:firstLine="420"/>
        <w:rPr>
          <w:color w:val="auto"/>
        </w:rPr>
      </w:pPr>
      <w:r>
        <w:rPr>
          <w:rFonts w:hint="eastAsia"/>
          <w:color w:val="auto"/>
        </w:rPr>
        <w:t>1）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14:paraId="4C7167FD">
      <w:pPr>
        <w:ind w:firstLine="420"/>
        <w:rPr>
          <w:color w:val="auto"/>
        </w:rPr>
      </w:pPr>
      <w:r>
        <w:rPr>
          <w:rFonts w:hint="eastAsia"/>
          <w:color w:val="auto"/>
        </w:rPr>
        <w:t>2）系统技术架构合理，数据结构合理，避免数据冗余，具有良好的扩展性、维护性和稳定性。如服务限流机制、服务降级机制等服务管控机制的应用，保障系统稳定运行。</w:t>
      </w:r>
    </w:p>
    <w:p w14:paraId="35AF454E">
      <w:pPr>
        <w:ind w:firstLine="420"/>
        <w:rPr>
          <w:color w:val="auto"/>
        </w:rPr>
      </w:pPr>
      <w:r>
        <w:rPr>
          <w:rFonts w:hint="eastAsia"/>
          <w:color w:val="auto"/>
        </w:rPr>
        <w:t>3）系统所采用的软件平台具备开放性、通用性、扩展性和安全性。在性能指标达到预警值时，能够通过横向扩展集群模式达到性能的线性增长。系统应具有线性或近似线性的性能扩展能力，并能在不停止服务的的情况下完成容量伸缩。</w:t>
      </w:r>
    </w:p>
    <w:p w14:paraId="2002867F">
      <w:pPr>
        <w:ind w:firstLine="420"/>
        <w:rPr>
          <w:color w:val="auto"/>
        </w:rPr>
      </w:pPr>
      <w:r>
        <w:rPr>
          <w:rFonts w:hint="eastAsia"/>
          <w:color w:val="auto"/>
        </w:rPr>
        <w:t>4）支持集群部署方式，适应采购人未来业务发展的需要。应用系统之间逻辑独立、启停服务时系统间不相互影响的部署方案。应用系统应支持双活跨数据中心的部署方案。</w:t>
      </w:r>
    </w:p>
    <w:p w14:paraId="1BEE82B7">
      <w:pPr>
        <w:ind w:firstLine="420"/>
        <w:rPr>
          <w:color w:val="auto"/>
        </w:rPr>
      </w:pPr>
      <w:r>
        <w:rPr>
          <w:rFonts w:hint="eastAsia"/>
          <w:color w:val="auto"/>
        </w:rPr>
        <w:t>5）系统支持域名部署。</w:t>
      </w:r>
    </w:p>
    <w:p w14:paraId="28197262">
      <w:pPr>
        <w:pStyle w:val="4"/>
        <w:ind w:firstLine="422"/>
        <w:rPr>
          <w:color w:val="auto"/>
        </w:rPr>
      </w:pPr>
      <w:r>
        <w:rPr>
          <w:color w:val="auto"/>
        </w:rPr>
        <w:t xml:space="preserve">2.4 </w:t>
      </w:r>
      <w:r>
        <w:rPr>
          <w:rFonts w:hint="eastAsia"/>
          <w:color w:val="auto"/>
        </w:rPr>
        <w:t>系统性能要求</w:t>
      </w:r>
    </w:p>
    <w:p w14:paraId="7345F383">
      <w:pPr>
        <w:ind w:firstLine="420"/>
        <w:rPr>
          <w:color w:val="auto"/>
        </w:rPr>
      </w:pPr>
      <w:r>
        <w:rPr>
          <w:rFonts w:hint="eastAsia"/>
          <w:color w:val="auto"/>
        </w:rPr>
        <w:t>1）应具有高效的运行效率，能通过负载均衡、流量控制、消息缓存等机制，提供大规模、高并发量的交易处理能力，满足登陆、查询、日终批量等性能需求；</w:t>
      </w:r>
    </w:p>
    <w:p w14:paraId="5D9BE798">
      <w:pPr>
        <w:ind w:firstLine="420"/>
        <w:rPr>
          <w:color w:val="auto"/>
        </w:rPr>
      </w:pPr>
      <w:r>
        <w:rPr>
          <w:rFonts w:hint="eastAsia"/>
          <w:color w:val="auto"/>
        </w:rPr>
        <w:t>2）系统必须提供平台级的负载均衡和容错能力；</w:t>
      </w:r>
    </w:p>
    <w:p w14:paraId="41108790">
      <w:pPr>
        <w:ind w:firstLine="420"/>
        <w:rPr>
          <w:color w:val="auto"/>
        </w:rPr>
      </w:pPr>
      <w:r>
        <w:rPr>
          <w:rFonts w:hint="eastAsia"/>
          <w:color w:val="auto"/>
        </w:rPr>
        <w:t>3）主机系统能够保持7*24稳定的不间断运行，从系统软硬件平台及网络等方面来保证系统的稳定性；</w:t>
      </w:r>
    </w:p>
    <w:p w14:paraId="322D74E2">
      <w:pPr>
        <w:ind w:firstLine="420"/>
        <w:rPr>
          <w:color w:val="auto"/>
        </w:rPr>
      </w:pPr>
      <w:r>
        <w:rPr>
          <w:rFonts w:hint="eastAsia"/>
          <w:color w:val="auto"/>
        </w:rPr>
        <w:t>4）可用率：系统总体平均可用率在99.99%以上。</w:t>
      </w:r>
    </w:p>
    <w:p w14:paraId="14E9C637">
      <w:pPr>
        <w:pStyle w:val="4"/>
        <w:ind w:firstLine="422"/>
        <w:rPr>
          <w:color w:val="auto"/>
        </w:rPr>
      </w:pPr>
      <w:r>
        <w:rPr>
          <w:rFonts w:hint="eastAsia"/>
          <w:color w:val="auto"/>
        </w:rPr>
        <w:t>2</w:t>
      </w:r>
      <w:r>
        <w:rPr>
          <w:color w:val="auto"/>
        </w:rPr>
        <w:t xml:space="preserve">.5 </w:t>
      </w:r>
      <w:r>
        <w:rPr>
          <w:rFonts w:hint="eastAsia"/>
          <w:color w:val="auto"/>
        </w:rPr>
        <w:t>安全性要求</w:t>
      </w:r>
    </w:p>
    <w:p w14:paraId="6765E3BA">
      <w:pPr>
        <w:ind w:firstLine="420"/>
        <w:rPr>
          <w:color w:val="auto"/>
        </w:rPr>
      </w:pPr>
      <w:r>
        <w:rPr>
          <w:rFonts w:hint="eastAsia"/>
          <w:color w:val="auto"/>
        </w:rPr>
        <w:t>为确保信息安全，采取的措施包括但不限于以下：</w:t>
      </w:r>
    </w:p>
    <w:p w14:paraId="4ADE35CE">
      <w:pPr>
        <w:ind w:firstLine="420"/>
        <w:rPr>
          <w:color w:val="auto"/>
        </w:rPr>
      </w:pPr>
      <w:r>
        <w:rPr>
          <w:rFonts w:hint="eastAsia"/>
          <w:color w:val="auto"/>
        </w:rPr>
        <w:t>1）平台安全：架构设计符合安全性要求，平台软件达到安全设计标准且不低于同业相关系统要求。</w:t>
      </w:r>
    </w:p>
    <w:p w14:paraId="49C2F481">
      <w:pPr>
        <w:ind w:firstLine="420"/>
        <w:rPr>
          <w:color w:val="auto"/>
        </w:rPr>
      </w:pPr>
      <w:r>
        <w:rPr>
          <w:rFonts w:hint="eastAsia"/>
          <w:color w:val="auto"/>
        </w:rPr>
        <w:t>2）数据安全：支持文档安全软件整合技术，从而做到数据传输加密、远程安全访问、数据存储加密，数据部署网络区域应支持入侵检测与防御系统、防火墙的应用。</w:t>
      </w:r>
    </w:p>
    <w:p w14:paraId="572ADC71">
      <w:pPr>
        <w:ind w:firstLine="420"/>
        <w:rPr>
          <w:color w:val="auto"/>
        </w:rPr>
      </w:pPr>
      <w:r>
        <w:rPr>
          <w:rFonts w:hint="eastAsia"/>
          <w:color w:val="auto"/>
        </w:rPr>
        <w:t>3）容灾备份：支持各种容灾的软硬件设备的使用等。</w:t>
      </w:r>
    </w:p>
    <w:p w14:paraId="2257C441">
      <w:pPr>
        <w:ind w:firstLine="420"/>
        <w:rPr>
          <w:color w:val="auto"/>
        </w:rPr>
      </w:pPr>
      <w:r>
        <w:rPr>
          <w:rFonts w:hint="eastAsia"/>
          <w:color w:val="auto"/>
        </w:rPr>
        <w:t>4）管理安全：提供完善的日志功能，能够记录系统使用人员的关键操作，保证系统应用的安全。</w:t>
      </w:r>
    </w:p>
    <w:p w14:paraId="1C10A5FE">
      <w:pPr>
        <w:ind w:firstLine="420"/>
        <w:rPr>
          <w:color w:val="auto"/>
        </w:rPr>
      </w:pPr>
      <w:r>
        <w:rPr>
          <w:rFonts w:hint="eastAsia"/>
          <w:color w:val="auto"/>
        </w:rPr>
        <w:t>5）密码策略：初始密码强制更改、启用验证码、密码过期控制、密码错误次数控制、密码强度设置等，不得以明文的方式保存任何相关密码，防止暴力破解和恶意攻击。</w:t>
      </w:r>
    </w:p>
    <w:p w14:paraId="45BCB37A">
      <w:pPr>
        <w:ind w:firstLine="420"/>
        <w:rPr>
          <w:color w:val="auto"/>
        </w:rPr>
      </w:pPr>
      <w:r>
        <w:rPr>
          <w:rFonts w:hint="eastAsia"/>
          <w:color w:val="auto"/>
        </w:rPr>
        <w:t>6）系统严密、灵活的访问安全控制；</w:t>
      </w:r>
    </w:p>
    <w:p w14:paraId="733E1D9E">
      <w:pPr>
        <w:ind w:firstLine="420"/>
        <w:rPr>
          <w:color w:val="auto"/>
        </w:rPr>
      </w:pPr>
      <w:r>
        <w:rPr>
          <w:rFonts w:hint="eastAsia"/>
          <w:color w:val="auto"/>
        </w:rPr>
        <w:t>7）系统有整体的用户/权限管理体系，可统一进行用户/权限的管理，实现到字段级的查询、修改、管理权限控制；</w:t>
      </w:r>
    </w:p>
    <w:p w14:paraId="31032F7C">
      <w:pPr>
        <w:ind w:firstLine="420"/>
        <w:rPr>
          <w:color w:val="auto"/>
        </w:rPr>
      </w:pPr>
      <w:r>
        <w:rPr>
          <w:rFonts w:hint="eastAsia"/>
          <w:color w:val="auto"/>
        </w:rPr>
        <w:t>8）系统开发必须满足采购</w:t>
      </w:r>
      <w:r>
        <w:rPr>
          <w:color w:val="auto"/>
        </w:rPr>
        <w:t>人</w:t>
      </w:r>
      <w:r>
        <w:rPr>
          <w:rFonts w:hint="eastAsia"/>
          <w:color w:val="auto"/>
        </w:rPr>
        <w:t>软件研发项目安全需求基线要求。</w:t>
      </w:r>
      <w:r>
        <w:rPr>
          <w:color w:val="auto"/>
        </w:rPr>
        <w:t>具体如下表所示</w:t>
      </w:r>
      <w:r>
        <w:rPr>
          <w:rFonts w:hint="eastAsia"/>
          <w:color w:val="auto"/>
        </w:rPr>
        <w:t>（现行基线）</w:t>
      </w:r>
      <w:r>
        <w:rPr>
          <w:color w:val="auto"/>
        </w:rPr>
        <w:t>：</w:t>
      </w:r>
    </w:p>
    <w:tbl>
      <w:tblPr>
        <w:tblStyle w:val="19"/>
        <w:tblW w:w="8290" w:type="dxa"/>
        <w:tblInd w:w="93" w:type="dxa"/>
        <w:tblLayout w:type="autofit"/>
        <w:tblCellMar>
          <w:top w:w="0" w:type="dxa"/>
          <w:left w:w="108" w:type="dxa"/>
          <w:bottom w:w="0" w:type="dxa"/>
          <w:right w:w="108" w:type="dxa"/>
        </w:tblCellMar>
      </w:tblPr>
      <w:tblGrid>
        <w:gridCol w:w="1157"/>
        <w:gridCol w:w="836"/>
        <w:gridCol w:w="6297"/>
      </w:tblGrid>
      <w:tr w14:paraId="097BEC60">
        <w:tblPrEx>
          <w:tblCellMar>
            <w:top w:w="0" w:type="dxa"/>
            <w:left w:w="108" w:type="dxa"/>
            <w:bottom w:w="0" w:type="dxa"/>
            <w:right w:w="108" w:type="dxa"/>
          </w:tblCellMar>
        </w:tblPrEx>
        <w:trPr>
          <w:trHeight w:val="480" w:hRule="atLeast"/>
        </w:trPr>
        <w:tc>
          <w:tcPr>
            <w:tcW w:w="1157" w:type="dxa"/>
            <w:tcBorders>
              <w:top w:val="single" w:color="auto" w:sz="4" w:space="0"/>
              <w:left w:val="single" w:color="auto" w:sz="4" w:space="0"/>
              <w:bottom w:val="single" w:color="auto" w:sz="4" w:space="0"/>
              <w:right w:val="single" w:color="auto" w:sz="4" w:space="0"/>
              <w:tl2br w:val="nil"/>
              <w:tr2bl w:val="nil"/>
            </w:tcBorders>
            <w:shd w:val="clear" w:color="auto" w:fill="BFBFBF"/>
            <w:vAlign w:val="center"/>
          </w:tcPr>
          <w:p w14:paraId="62416FE7">
            <w:pPr>
              <w:pStyle w:val="44"/>
              <w:rPr>
                <w:color w:val="auto"/>
              </w:rPr>
            </w:pPr>
            <w:r>
              <w:rPr>
                <w:rFonts w:hint="eastAsia"/>
                <w:color w:val="auto"/>
              </w:rPr>
              <w:t>类别</w:t>
            </w:r>
          </w:p>
        </w:tc>
        <w:tc>
          <w:tcPr>
            <w:tcW w:w="836" w:type="dxa"/>
            <w:tcBorders>
              <w:top w:val="single" w:color="auto" w:sz="4" w:space="0"/>
              <w:left w:val="nil"/>
              <w:bottom w:val="single" w:color="auto" w:sz="4" w:space="0"/>
              <w:right w:val="single" w:color="auto" w:sz="4" w:space="0"/>
              <w:tl2br w:val="nil"/>
              <w:tr2bl w:val="nil"/>
            </w:tcBorders>
            <w:shd w:val="clear" w:color="auto" w:fill="BFBFBF"/>
            <w:vAlign w:val="center"/>
          </w:tcPr>
          <w:p w14:paraId="036ED22E">
            <w:pPr>
              <w:pStyle w:val="44"/>
              <w:rPr>
                <w:color w:val="auto"/>
              </w:rPr>
            </w:pPr>
            <w:r>
              <w:rPr>
                <w:rFonts w:hint="eastAsia"/>
                <w:color w:val="auto"/>
              </w:rPr>
              <w:t>子类</w:t>
            </w:r>
          </w:p>
        </w:tc>
        <w:tc>
          <w:tcPr>
            <w:tcW w:w="6297" w:type="dxa"/>
            <w:tcBorders>
              <w:top w:val="single" w:color="auto" w:sz="4" w:space="0"/>
              <w:left w:val="nil"/>
              <w:bottom w:val="single" w:color="auto" w:sz="4" w:space="0"/>
              <w:right w:val="single" w:color="auto" w:sz="4" w:space="0"/>
              <w:tl2br w:val="nil"/>
              <w:tr2bl w:val="nil"/>
            </w:tcBorders>
            <w:shd w:val="clear" w:color="auto" w:fill="BFBFBF"/>
            <w:vAlign w:val="center"/>
          </w:tcPr>
          <w:p w14:paraId="4D81D958">
            <w:pPr>
              <w:pStyle w:val="44"/>
              <w:rPr>
                <w:color w:val="auto"/>
              </w:rPr>
            </w:pPr>
            <w:r>
              <w:rPr>
                <w:rFonts w:hint="eastAsia"/>
                <w:color w:val="auto"/>
              </w:rPr>
              <w:t>安全需求</w:t>
            </w:r>
          </w:p>
        </w:tc>
      </w:tr>
      <w:tr w14:paraId="0E38844D">
        <w:tblPrEx>
          <w:tblCellMar>
            <w:top w:w="0" w:type="dxa"/>
            <w:left w:w="108" w:type="dxa"/>
            <w:bottom w:w="0" w:type="dxa"/>
            <w:right w:w="108" w:type="dxa"/>
          </w:tblCellMar>
        </w:tblPrEx>
        <w:trPr>
          <w:trHeight w:val="2970"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7227C576">
            <w:pPr>
              <w:snapToGrid w:val="0"/>
              <w:ind w:firstLine="0" w:firstLineChars="0"/>
              <w:rPr>
                <w:rFonts w:ascii="宋体" w:cs="Times New Roman"/>
                <w:color w:val="auto"/>
                <w:sz w:val="20"/>
              </w:rPr>
            </w:pPr>
            <w:r>
              <w:rPr>
                <w:rFonts w:hint="eastAsia" w:ascii="宋体" w:cs="Times New Roman"/>
                <w:color w:val="auto"/>
                <w:sz w:val="20"/>
              </w:rPr>
              <w:t>身份认证</w:t>
            </w:r>
          </w:p>
        </w:tc>
        <w:tc>
          <w:tcPr>
            <w:tcW w:w="836" w:type="dxa"/>
            <w:tcBorders>
              <w:top w:val="single" w:color="auto" w:sz="4" w:space="0"/>
              <w:left w:val="nil"/>
              <w:bottom w:val="single" w:color="auto" w:sz="4" w:space="0"/>
              <w:right w:val="single" w:color="auto" w:sz="4" w:space="0"/>
              <w:tl2br w:val="nil"/>
              <w:tr2bl w:val="nil"/>
            </w:tcBorders>
            <w:vAlign w:val="center"/>
          </w:tcPr>
          <w:p w14:paraId="7ACF2E9C">
            <w:pPr>
              <w:snapToGrid w:val="0"/>
              <w:ind w:firstLine="0" w:firstLineChars="0"/>
              <w:rPr>
                <w:rFonts w:ascii="宋体" w:cs="Times New Roman"/>
                <w:color w:val="auto"/>
                <w:sz w:val="20"/>
              </w:rPr>
            </w:pPr>
            <w:r>
              <w:rPr>
                <w:rFonts w:hint="eastAsia" w:ascii="宋体" w:cs="Times New Roman"/>
                <w:color w:val="auto"/>
                <w:sz w:val="20"/>
              </w:rPr>
              <w:t>口令安全策略</w:t>
            </w:r>
          </w:p>
        </w:tc>
        <w:tc>
          <w:tcPr>
            <w:tcW w:w="6297" w:type="dxa"/>
            <w:tcBorders>
              <w:top w:val="single" w:color="auto" w:sz="4" w:space="0"/>
              <w:left w:val="nil"/>
              <w:bottom w:val="single" w:color="auto" w:sz="4" w:space="0"/>
              <w:right w:val="single" w:color="auto" w:sz="4" w:space="0"/>
              <w:tl2br w:val="nil"/>
              <w:tr2bl w:val="nil"/>
            </w:tcBorders>
            <w:vAlign w:val="center"/>
          </w:tcPr>
          <w:p w14:paraId="793C027E">
            <w:pPr>
              <w:snapToGrid w:val="0"/>
              <w:ind w:firstLine="0" w:firstLineChars="0"/>
              <w:rPr>
                <w:rFonts w:ascii="宋体" w:cs="Times New Roman"/>
                <w:color w:val="auto"/>
                <w:sz w:val="20"/>
              </w:rPr>
            </w:pPr>
            <w:r>
              <w:rPr>
                <w:rFonts w:hint="eastAsia" w:ascii="宋体" w:cs="Times New Roman"/>
                <w:color w:val="auto"/>
                <w:sz w:val="20"/>
              </w:rPr>
              <w:t>应用系统应具有口令复杂度限制功能，并在设置密码、修改密码、重置密码的时候进行密码复杂度校验：</w:t>
            </w:r>
            <w:r>
              <w:rPr>
                <w:rFonts w:hint="eastAsia" w:ascii="宋体" w:cs="Times New Roman"/>
                <w:color w:val="auto"/>
                <w:sz w:val="20"/>
              </w:rPr>
              <w:br w:type="textWrapping"/>
            </w:r>
            <w:r>
              <w:rPr>
                <w:rFonts w:hint="eastAsia" w:ascii="宋体" w:cs="Times New Roman"/>
                <w:color w:val="auto"/>
                <w:sz w:val="20"/>
              </w:rPr>
              <w:t>（1）口令复杂度要求：长度8位及以上，口令应为特殊字符，数字，字母，三种形式的组合；</w:t>
            </w:r>
            <w:r>
              <w:rPr>
                <w:rFonts w:hint="eastAsia" w:ascii="宋体" w:cs="Times New Roman"/>
                <w:color w:val="auto"/>
                <w:sz w:val="20"/>
              </w:rPr>
              <w:br w:type="textWrapping"/>
            </w:r>
            <w:r>
              <w:rPr>
                <w:rFonts w:hint="eastAsia" w:ascii="宋体" w:cs="Times New Roman"/>
                <w:color w:val="auto"/>
                <w:sz w:val="20"/>
              </w:rPr>
              <w:t>（2）不能使用和用户名相同的密码；</w:t>
            </w:r>
            <w:r>
              <w:rPr>
                <w:rFonts w:hint="eastAsia" w:ascii="宋体" w:cs="Times New Roman"/>
                <w:color w:val="auto"/>
                <w:sz w:val="20"/>
              </w:rPr>
              <w:br w:type="textWrapping"/>
            </w:r>
            <w:r>
              <w:rPr>
                <w:rFonts w:hint="eastAsia" w:ascii="宋体" w:cs="Times New Roman"/>
                <w:color w:val="auto"/>
                <w:sz w:val="20"/>
              </w:rPr>
              <w:t>（3）避免使用默认口令，如果使用，应在用户首次登录时，强制用户修改密码。</w:t>
            </w:r>
            <w:r>
              <w:rPr>
                <w:rFonts w:hint="eastAsia" w:ascii="宋体" w:cs="Times New Roman"/>
                <w:color w:val="auto"/>
                <w:sz w:val="20"/>
              </w:rPr>
              <w:br w:type="textWrapping"/>
            </w:r>
            <w:r>
              <w:rPr>
                <w:rFonts w:hint="eastAsia" w:ascii="宋体" w:cs="Times New Roman"/>
                <w:color w:val="auto"/>
                <w:sz w:val="20"/>
              </w:rPr>
              <w:t>（4）避免使用易被推测字段作为口令，例如1qaz2wsx、1q2w3e4r、Aa123456等。（5）系统各用户应根据使用场景定期更改密码，设置密码更新周期频率（最长不超过90天）。</w:t>
            </w:r>
          </w:p>
        </w:tc>
      </w:tr>
      <w:tr w14:paraId="444FB379">
        <w:tblPrEx>
          <w:tblCellMar>
            <w:top w:w="0" w:type="dxa"/>
            <w:left w:w="108" w:type="dxa"/>
            <w:bottom w:w="0" w:type="dxa"/>
            <w:right w:w="108" w:type="dxa"/>
          </w:tblCellMar>
        </w:tblPrEx>
        <w:trPr>
          <w:trHeight w:val="181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29384070">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6E0CC095">
            <w:pPr>
              <w:snapToGrid w:val="0"/>
              <w:ind w:firstLine="0" w:firstLineChars="0"/>
              <w:rPr>
                <w:rFonts w:ascii="宋体" w:cs="Times New Roman"/>
                <w:color w:val="auto"/>
                <w:sz w:val="20"/>
              </w:rPr>
            </w:pPr>
            <w:r>
              <w:rPr>
                <w:rFonts w:hint="eastAsia" w:ascii="宋体" w:cs="Times New Roman"/>
                <w:color w:val="auto"/>
                <w:sz w:val="20"/>
              </w:rPr>
              <w:t>口令加密传输</w:t>
            </w:r>
          </w:p>
        </w:tc>
        <w:tc>
          <w:tcPr>
            <w:tcW w:w="6297" w:type="dxa"/>
            <w:tcBorders>
              <w:top w:val="single" w:color="auto" w:sz="4" w:space="0"/>
              <w:left w:val="nil"/>
              <w:bottom w:val="single" w:color="auto" w:sz="4" w:space="0"/>
              <w:right w:val="single" w:color="auto" w:sz="4" w:space="0"/>
              <w:tl2br w:val="nil"/>
              <w:tr2bl w:val="nil"/>
            </w:tcBorders>
            <w:vAlign w:val="center"/>
          </w:tcPr>
          <w:p w14:paraId="7A45014C">
            <w:pPr>
              <w:snapToGrid w:val="0"/>
              <w:ind w:firstLine="0" w:firstLineChars="0"/>
              <w:rPr>
                <w:rFonts w:ascii="宋体" w:cs="Times New Roman"/>
                <w:color w:val="auto"/>
                <w:sz w:val="20"/>
              </w:rPr>
            </w:pPr>
            <w:r>
              <w:rPr>
                <w:rFonts w:hint="eastAsia" w:ascii="宋体" w:cs="Times New Roman"/>
                <w:color w:val="auto"/>
                <w:sz w:val="20"/>
              </w:rPr>
              <w:t>用户口令在传输过程中需进行加密，建议使用md5加盐（随机数）、sha2、pbkdf2等方式进行加密传输，禁止直接使用明文传输，禁止直接使用MD5、sha1等弱加密方式。</w:t>
            </w:r>
            <w:r>
              <w:rPr>
                <w:rFonts w:hint="eastAsia" w:ascii="宋体" w:cs="Times New Roman"/>
                <w:color w:val="auto"/>
                <w:sz w:val="20"/>
              </w:rPr>
              <w:br w:type="textWrapping"/>
            </w:r>
            <w:r>
              <w:rPr>
                <w:rFonts w:hint="eastAsia" w:ascii="宋体" w:cs="Times New Roman"/>
                <w:color w:val="auto"/>
                <w:sz w:val="20"/>
              </w:rPr>
              <w:t>用户口令在行外传输应进行端到端加密：（1）对于使用浏览器作为前端的应用可以使用加密控件进行加密处理。（2）对于使用APP客户端作为前端的应用，可以使用安全密码键盘。（3）对于使用微信客户端作为前端的应用，可以使用H5密码键盘。</w:t>
            </w:r>
          </w:p>
        </w:tc>
      </w:tr>
      <w:tr w14:paraId="657AF908">
        <w:tblPrEx>
          <w:tblCellMar>
            <w:top w:w="0" w:type="dxa"/>
            <w:left w:w="108" w:type="dxa"/>
            <w:bottom w:w="0" w:type="dxa"/>
            <w:right w:w="108" w:type="dxa"/>
          </w:tblCellMar>
        </w:tblPrEx>
        <w:trPr>
          <w:trHeight w:val="192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40A51454">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1809BF86">
            <w:pPr>
              <w:snapToGrid w:val="0"/>
              <w:ind w:firstLine="0" w:firstLineChars="0"/>
              <w:rPr>
                <w:rFonts w:ascii="宋体" w:cs="Times New Roman"/>
                <w:color w:val="auto"/>
                <w:sz w:val="20"/>
              </w:rPr>
            </w:pPr>
            <w:r>
              <w:rPr>
                <w:rFonts w:hint="eastAsia" w:ascii="宋体" w:cs="Times New Roman"/>
                <w:color w:val="auto"/>
                <w:sz w:val="20"/>
              </w:rPr>
              <w:t>防暴力猜解</w:t>
            </w:r>
          </w:p>
        </w:tc>
        <w:tc>
          <w:tcPr>
            <w:tcW w:w="6297" w:type="dxa"/>
            <w:tcBorders>
              <w:top w:val="single" w:color="auto" w:sz="4" w:space="0"/>
              <w:left w:val="nil"/>
              <w:bottom w:val="single" w:color="auto" w:sz="4" w:space="0"/>
              <w:right w:val="single" w:color="auto" w:sz="4" w:space="0"/>
              <w:tl2br w:val="nil"/>
              <w:tr2bl w:val="nil"/>
            </w:tcBorders>
            <w:vAlign w:val="center"/>
          </w:tcPr>
          <w:p w14:paraId="49052576">
            <w:pPr>
              <w:snapToGrid w:val="0"/>
              <w:ind w:firstLine="0" w:firstLineChars="0"/>
              <w:rPr>
                <w:rFonts w:ascii="宋体" w:cs="Times New Roman"/>
                <w:color w:val="auto"/>
                <w:sz w:val="20"/>
              </w:rPr>
            </w:pPr>
            <w:r>
              <w:rPr>
                <w:rFonts w:hint="eastAsia" w:ascii="宋体" w:cs="Times New Roman"/>
                <w:color w:val="auto"/>
                <w:sz w:val="20"/>
              </w:rPr>
              <w:t>身份认证时，应防止暴力猜解账号口令：</w:t>
            </w:r>
            <w:r>
              <w:rPr>
                <w:rFonts w:hint="eastAsia" w:ascii="宋体" w:cs="Times New Roman"/>
                <w:color w:val="auto"/>
                <w:sz w:val="20"/>
              </w:rPr>
              <w:br w:type="textWrapping"/>
            </w:r>
            <w:r>
              <w:rPr>
                <w:rFonts w:hint="eastAsia" w:ascii="宋体" w:cs="Times New Roman"/>
                <w:color w:val="auto"/>
                <w:sz w:val="20"/>
              </w:rPr>
              <w:t>（1）在登录认证失败时给出通用的错误提示（如“账号或密码错误”），不能透露用户ID是否存在等信息。</w:t>
            </w:r>
            <w:r>
              <w:rPr>
                <w:rFonts w:hint="eastAsia" w:ascii="宋体" w:cs="Times New Roman"/>
                <w:color w:val="auto"/>
                <w:sz w:val="20"/>
              </w:rPr>
              <w:br w:type="textWrapping"/>
            </w:r>
            <w:r>
              <w:rPr>
                <w:rFonts w:hint="eastAsia" w:ascii="宋体" w:cs="Times New Roman"/>
                <w:color w:val="auto"/>
                <w:sz w:val="20"/>
              </w:rPr>
              <w:t>（2）在登录认证失败时，服务器返回的信息应当确保一致（不应有因用户是否存在导致响应内容长度及响应时间存在差异的情况）。（3）记录尝试次数，当超过阈值时（例如五次），限制访问（限制IP或锁定用户，锁定时间及解锁方式自行确定）。（4）使用图片验证码防止暴力破解。</w:t>
            </w:r>
          </w:p>
        </w:tc>
      </w:tr>
      <w:tr w14:paraId="41AA6C26">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39B08797">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444E83F9">
            <w:pPr>
              <w:snapToGrid w:val="0"/>
              <w:ind w:firstLine="0" w:firstLineChars="0"/>
              <w:rPr>
                <w:rFonts w:ascii="宋体" w:cs="Times New Roman"/>
                <w:color w:val="auto"/>
                <w:sz w:val="20"/>
              </w:rPr>
            </w:pPr>
            <w:r>
              <w:rPr>
                <w:rFonts w:hint="eastAsia" w:ascii="宋体" w:cs="Times New Roman"/>
                <w:color w:val="auto"/>
                <w:sz w:val="20"/>
              </w:rPr>
              <w:t>防登录重放</w:t>
            </w:r>
          </w:p>
        </w:tc>
        <w:tc>
          <w:tcPr>
            <w:tcW w:w="6297" w:type="dxa"/>
            <w:tcBorders>
              <w:top w:val="single" w:color="auto" w:sz="4" w:space="0"/>
              <w:left w:val="nil"/>
              <w:bottom w:val="single" w:color="auto" w:sz="4" w:space="0"/>
              <w:right w:val="single" w:color="auto" w:sz="4" w:space="0"/>
              <w:tl2br w:val="nil"/>
              <w:tr2bl w:val="nil"/>
            </w:tcBorders>
            <w:vAlign w:val="center"/>
          </w:tcPr>
          <w:p w14:paraId="1329B250">
            <w:pPr>
              <w:snapToGrid w:val="0"/>
              <w:ind w:firstLine="0" w:firstLineChars="0"/>
              <w:rPr>
                <w:rFonts w:ascii="宋体" w:cs="Times New Roman"/>
                <w:color w:val="auto"/>
                <w:sz w:val="20"/>
              </w:rPr>
            </w:pPr>
            <w:r>
              <w:rPr>
                <w:rFonts w:hint="eastAsia" w:ascii="宋体" w:cs="Times New Roman"/>
                <w:color w:val="auto"/>
                <w:sz w:val="20"/>
              </w:rPr>
              <w:t>应采取有效措施防止登录攻击：</w:t>
            </w:r>
            <w:r>
              <w:rPr>
                <w:rFonts w:hint="eastAsia" w:ascii="宋体" w:cs="Times New Roman"/>
                <w:color w:val="auto"/>
                <w:sz w:val="20"/>
              </w:rPr>
              <w:br w:type="textWrapping"/>
            </w:r>
            <w:r>
              <w:rPr>
                <w:rFonts w:hint="eastAsia" w:ascii="宋体" w:cs="Times New Roman"/>
                <w:color w:val="auto"/>
                <w:sz w:val="20"/>
              </w:rPr>
              <w:t>（1）在对密码进行加密时，使用时间戳或者随机数。</w:t>
            </w:r>
            <w:r>
              <w:rPr>
                <w:rFonts w:hint="eastAsia" w:ascii="宋体" w:cs="Times New Roman"/>
                <w:color w:val="auto"/>
                <w:sz w:val="20"/>
              </w:rPr>
              <w:br w:type="textWrapping"/>
            </w:r>
            <w:r>
              <w:rPr>
                <w:rFonts w:hint="eastAsia" w:ascii="宋体" w:cs="Times New Roman"/>
                <w:color w:val="auto"/>
                <w:sz w:val="20"/>
              </w:rPr>
              <w:t>（2）时间戳由服务端下发，并设置合理的时间窗，推荐1分钟。</w:t>
            </w:r>
            <w:r>
              <w:rPr>
                <w:rFonts w:hint="eastAsia" w:ascii="宋体" w:cs="Times New Roman"/>
                <w:color w:val="auto"/>
                <w:sz w:val="20"/>
              </w:rPr>
              <w:br w:type="textWrapping"/>
            </w:r>
            <w:r>
              <w:rPr>
                <w:rFonts w:hint="eastAsia" w:ascii="宋体" w:cs="Times New Roman"/>
                <w:color w:val="auto"/>
                <w:sz w:val="20"/>
              </w:rPr>
              <w:t>（3）随机数由服务端下发，并保存在服务端session中，验密时，随机数从服务端 session 中获取，使用后立即重置。</w:t>
            </w:r>
          </w:p>
        </w:tc>
      </w:tr>
      <w:tr w14:paraId="62BB7313">
        <w:tblPrEx>
          <w:tblCellMar>
            <w:top w:w="0" w:type="dxa"/>
            <w:left w:w="108" w:type="dxa"/>
            <w:bottom w:w="0" w:type="dxa"/>
            <w:right w:w="108" w:type="dxa"/>
          </w:tblCellMar>
        </w:tblPrEx>
        <w:trPr>
          <w:trHeight w:val="1185"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4203B36A">
            <w:pPr>
              <w:snapToGrid w:val="0"/>
              <w:ind w:firstLine="0" w:firstLineChars="0"/>
              <w:rPr>
                <w:rFonts w:ascii="宋体" w:cs="Times New Roman"/>
                <w:color w:val="auto"/>
                <w:sz w:val="20"/>
              </w:rPr>
            </w:pPr>
            <w:r>
              <w:rPr>
                <w:rFonts w:hint="eastAsia" w:ascii="宋体" w:cs="Times New Roman"/>
                <w:color w:val="auto"/>
                <w:sz w:val="20"/>
              </w:rPr>
              <w:t>会话安全</w:t>
            </w: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2306B989">
            <w:pPr>
              <w:snapToGrid w:val="0"/>
              <w:ind w:firstLine="0" w:firstLineChars="0"/>
              <w:rPr>
                <w:rFonts w:ascii="宋体" w:cs="Times New Roman"/>
                <w:color w:val="auto"/>
                <w:sz w:val="20"/>
              </w:rPr>
            </w:pPr>
            <w:r>
              <w:rPr>
                <w:rFonts w:hint="eastAsia" w:ascii="宋体" w:cs="Times New Roman"/>
                <w:color w:val="auto"/>
                <w:sz w:val="20"/>
              </w:rPr>
              <w:t>会话标识</w:t>
            </w:r>
          </w:p>
        </w:tc>
        <w:tc>
          <w:tcPr>
            <w:tcW w:w="6297" w:type="dxa"/>
            <w:tcBorders>
              <w:top w:val="single" w:color="auto" w:sz="4" w:space="0"/>
              <w:left w:val="nil"/>
              <w:bottom w:val="single" w:color="auto" w:sz="4" w:space="0"/>
              <w:right w:val="single" w:color="auto" w:sz="4" w:space="0"/>
              <w:tl2br w:val="nil"/>
              <w:tr2bl w:val="nil"/>
            </w:tcBorders>
            <w:vAlign w:val="center"/>
          </w:tcPr>
          <w:p w14:paraId="54086FF2">
            <w:pPr>
              <w:snapToGrid w:val="0"/>
              <w:ind w:firstLine="0" w:firstLineChars="0"/>
              <w:rPr>
                <w:rFonts w:ascii="宋体" w:cs="Times New Roman"/>
                <w:color w:val="auto"/>
                <w:sz w:val="20"/>
              </w:rPr>
            </w:pPr>
            <w:r>
              <w:rPr>
                <w:rFonts w:hint="eastAsia" w:ascii="宋体" w:cs="Times New Roman"/>
                <w:color w:val="auto"/>
                <w:sz w:val="20"/>
              </w:rPr>
              <w:t>应用系统会话标识符的生成、存储、传输等，应确保会话ID标识不能被攻击者劫持、窃取、猜测或依据当前标识推到后续的新标识。</w:t>
            </w:r>
            <w:r>
              <w:rPr>
                <w:rFonts w:hint="eastAsia" w:ascii="宋体" w:cs="Times New Roman"/>
                <w:color w:val="auto"/>
                <w:sz w:val="20"/>
              </w:rPr>
              <w:br w:type="textWrapping"/>
            </w:r>
            <w:r>
              <w:rPr>
                <w:rFonts w:hint="eastAsia" w:ascii="宋体" w:cs="Times New Roman"/>
                <w:color w:val="auto"/>
                <w:sz w:val="20"/>
              </w:rPr>
              <w:t>（1）会话标识符必须在可信的系统或环境中生成。</w:t>
            </w:r>
            <w:r>
              <w:rPr>
                <w:rFonts w:hint="eastAsia" w:ascii="宋体" w:cs="Times New Roman"/>
                <w:color w:val="auto"/>
                <w:sz w:val="20"/>
              </w:rPr>
              <w:br w:type="textWrapping"/>
            </w:r>
            <w:r>
              <w:rPr>
                <w:rFonts w:hint="eastAsia" w:ascii="宋体" w:cs="Times New Roman"/>
                <w:color w:val="auto"/>
                <w:sz w:val="20"/>
              </w:rPr>
              <w:t>（2）应用系统应确保会话标识随机并且唯一。</w:t>
            </w:r>
          </w:p>
        </w:tc>
      </w:tr>
      <w:tr w14:paraId="03D317C8">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4C3A89C7">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7CC46404">
            <w:pPr>
              <w:snapToGrid w:val="0"/>
              <w:ind w:firstLine="0" w:firstLineChars="0"/>
              <w:rPr>
                <w:rFonts w:ascii="宋体" w:cs="Times New Roman"/>
                <w:color w:val="auto"/>
                <w:sz w:val="20"/>
              </w:rPr>
            </w:pPr>
            <w:r>
              <w:rPr>
                <w:rFonts w:hint="eastAsia" w:ascii="宋体" w:cs="Times New Roman"/>
                <w:color w:val="auto"/>
                <w:sz w:val="20"/>
              </w:rPr>
              <w:t>防固定会话攻击</w:t>
            </w:r>
          </w:p>
        </w:tc>
        <w:tc>
          <w:tcPr>
            <w:tcW w:w="6297" w:type="dxa"/>
            <w:tcBorders>
              <w:top w:val="single" w:color="auto" w:sz="4" w:space="0"/>
              <w:left w:val="nil"/>
              <w:bottom w:val="single" w:color="auto" w:sz="4" w:space="0"/>
              <w:right w:val="single" w:color="auto" w:sz="4" w:space="0"/>
              <w:tl2br w:val="nil"/>
              <w:tr2bl w:val="nil"/>
            </w:tcBorders>
            <w:vAlign w:val="center"/>
          </w:tcPr>
          <w:p w14:paraId="153DEDA9">
            <w:pPr>
              <w:snapToGrid w:val="0"/>
              <w:ind w:firstLine="0" w:firstLineChars="0"/>
              <w:rPr>
                <w:rFonts w:ascii="宋体" w:cs="Times New Roman"/>
                <w:color w:val="auto"/>
                <w:sz w:val="20"/>
              </w:rPr>
            </w:pPr>
            <w:r>
              <w:rPr>
                <w:rFonts w:hint="eastAsia" w:ascii="宋体" w:cs="Times New Roman"/>
                <w:color w:val="auto"/>
                <w:sz w:val="20"/>
              </w:rPr>
              <w:t>用户登录后，应重新分配会话标识，防止会话固定攻击。</w:t>
            </w:r>
          </w:p>
        </w:tc>
      </w:tr>
      <w:tr w14:paraId="390930E8">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54440DA6">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51CC89C5">
            <w:pPr>
              <w:snapToGrid w:val="0"/>
              <w:ind w:firstLine="0" w:firstLineChars="0"/>
              <w:rPr>
                <w:rFonts w:ascii="宋体" w:cs="Times New Roman"/>
                <w:color w:val="auto"/>
                <w:sz w:val="20"/>
              </w:rPr>
            </w:pPr>
            <w:r>
              <w:rPr>
                <w:rFonts w:hint="eastAsia" w:ascii="宋体" w:cs="Times New Roman"/>
                <w:color w:val="auto"/>
                <w:sz w:val="20"/>
              </w:rPr>
              <w:t>Cookie安全性</w:t>
            </w:r>
          </w:p>
        </w:tc>
        <w:tc>
          <w:tcPr>
            <w:tcW w:w="6297" w:type="dxa"/>
            <w:tcBorders>
              <w:top w:val="single" w:color="auto" w:sz="4" w:space="0"/>
              <w:left w:val="nil"/>
              <w:bottom w:val="single" w:color="auto" w:sz="4" w:space="0"/>
              <w:right w:val="single" w:color="auto" w:sz="4" w:space="0"/>
              <w:tl2br w:val="nil"/>
              <w:tr2bl w:val="nil"/>
            </w:tcBorders>
            <w:vAlign w:val="center"/>
          </w:tcPr>
          <w:p w14:paraId="2ECE3D0F">
            <w:pPr>
              <w:snapToGrid w:val="0"/>
              <w:ind w:firstLine="0" w:firstLineChars="0"/>
              <w:rPr>
                <w:rFonts w:ascii="宋体" w:cs="Times New Roman"/>
                <w:color w:val="auto"/>
                <w:sz w:val="20"/>
              </w:rPr>
            </w:pPr>
            <w:r>
              <w:rPr>
                <w:rFonts w:hint="eastAsia" w:ascii="宋体" w:cs="Times New Roman"/>
                <w:color w:val="auto"/>
                <w:sz w:val="20"/>
              </w:rPr>
              <w:t>（1）禁止将账号口令等敏感信息明文或简单编码存放在Cookie中，Cookie信息可能通过XSS漏洞泄露，其不应包含账号口令等敏感信息。</w:t>
            </w:r>
            <w:r>
              <w:rPr>
                <w:rFonts w:hint="eastAsia" w:ascii="宋体" w:cs="Times New Roman"/>
                <w:color w:val="auto"/>
                <w:sz w:val="20"/>
              </w:rPr>
              <w:br w:type="textWrapping"/>
            </w:r>
            <w:r>
              <w:rPr>
                <w:rFonts w:hint="eastAsia" w:ascii="宋体" w:cs="Times New Roman"/>
                <w:color w:val="auto"/>
                <w:sz w:val="20"/>
              </w:rPr>
              <w:t>（2）在Cookie中设置HttpOnly属性，通过js脚本将无法读取到cookie信息，能有效的防止通过XSS漏洞盗取Cookie。</w:t>
            </w:r>
          </w:p>
        </w:tc>
      </w:tr>
      <w:tr w14:paraId="470C0581">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30A6008F">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6B704457">
            <w:pPr>
              <w:snapToGrid w:val="0"/>
              <w:ind w:firstLine="0" w:firstLineChars="0"/>
              <w:rPr>
                <w:rFonts w:ascii="宋体" w:cs="Times New Roman"/>
                <w:color w:val="auto"/>
                <w:sz w:val="20"/>
              </w:rPr>
            </w:pPr>
            <w:r>
              <w:rPr>
                <w:rFonts w:hint="eastAsia" w:ascii="宋体" w:cs="Times New Roman"/>
                <w:color w:val="auto"/>
                <w:sz w:val="20"/>
              </w:rPr>
              <w:t>会话并发</w:t>
            </w:r>
          </w:p>
        </w:tc>
        <w:tc>
          <w:tcPr>
            <w:tcW w:w="6297" w:type="dxa"/>
            <w:tcBorders>
              <w:top w:val="single" w:color="auto" w:sz="4" w:space="0"/>
              <w:left w:val="nil"/>
              <w:bottom w:val="single" w:color="auto" w:sz="4" w:space="0"/>
              <w:right w:val="single" w:color="auto" w:sz="4" w:space="0"/>
              <w:tl2br w:val="nil"/>
              <w:tr2bl w:val="nil"/>
            </w:tcBorders>
            <w:shd w:val="clear" w:color="auto" w:fill="FFFFFF"/>
            <w:vAlign w:val="center"/>
          </w:tcPr>
          <w:p w14:paraId="4CFAA801">
            <w:pPr>
              <w:snapToGrid w:val="0"/>
              <w:ind w:firstLine="0" w:firstLineChars="0"/>
              <w:rPr>
                <w:rFonts w:ascii="宋体" w:cs="Times New Roman"/>
                <w:color w:val="auto"/>
                <w:sz w:val="20"/>
              </w:rPr>
            </w:pPr>
            <w:r>
              <w:rPr>
                <w:rFonts w:hint="eastAsia" w:ascii="宋体" w:cs="Times New Roman"/>
                <w:color w:val="auto"/>
                <w:sz w:val="20"/>
              </w:rPr>
              <w:t>应用系统应能够对一个时间段内可能的并发会话连接数进行限制：</w:t>
            </w:r>
            <w:r>
              <w:rPr>
                <w:rFonts w:hint="eastAsia" w:ascii="宋体" w:cs="Times New Roman"/>
                <w:color w:val="auto"/>
                <w:sz w:val="20"/>
              </w:rPr>
              <w:br w:type="textWrapping"/>
            </w:r>
            <w:r>
              <w:rPr>
                <w:rFonts w:hint="eastAsia" w:ascii="宋体" w:cs="Times New Roman"/>
                <w:color w:val="auto"/>
                <w:sz w:val="20"/>
              </w:rPr>
              <w:t>（1）应对系统的最大并发会话连接数进行限制。</w:t>
            </w:r>
            <w:r>
              <w:rPr>
                <w:rFonts w:hint="eastAsia" w:ascii="宋体" w:cs="Times New Roman"/>
                <w:color w:val="auto"/>
                <w:sz w:val="20"/>
              </w:rPr>
              <w:br w:type="textWrapping"/>
            </w:r>
            <w:r>
              <w:rPr>
                <w:rFonts w:hint="eastAsia" w:ascii="宋体" w:cs="Times New Roman"/>
                <w:color w:val="auto"/>
                <w:sz w:val="20"/>
              </w:rPr>
              <w:t>（2）应对单个用户的多重并发会话进行限制，同一用户只能建立一个会话，重新登录时，立即终止原有会话。</w:t>
            </w:r>
          </w:p>
        </w:tc>
      </w:tr>
      <w:tr w14:paraId="0A55A3DF">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333C0938">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213A7DA4">
            <w:pPr>
              <w:snapToGrid w:val="0"/>
              <w:ind w:firstLine="0" w:firstLineChars="0"/>
              <w:rPr>
                <w:rFonts w:ascii="宋体" w:cs="Times New Roman"/>
                <w:color w:val="auto"/>
                <w:sz w:val="20"/>
              </w:rPr>
            </w:pPr>
            <w:r>
              <w:rPr>
                <w:rFonts w:hint="eastAsia" w:ascii="宋体" w:cs="Times New Roman"/>
                <w:color w:val="auto"/>
                <w:sz w:val="20"/>
              </w:rPr>
              <w:t>会话退出</w:t>
            </w:r>
          </w:p>
        </w:tc>
        <w:tc>
          <w:tcPr>
            <w:tcW w:w="6297" w:type="dxa"/>
            <w:tcBorders>
              <w:top w:val="single" w:color="auto" w:sz="4" w:space="0"/>
              <w:left w:val="nil"/>
              <w:bottom w:val="single" w:color="auto" w:sz="4" w:space="0"/>
              <w:right w:val="single" w:color="auto" w:sz="4" w:space="0"/>
              <w:tl2br w:val="nil"/>
              <w:tr2bl w:val="nil"/>
            </w:tcBorders>
            <w:vAlign w:val="center"/>
          </w:tcPr>
          <w:p w14:paraId="5BF2BD51">
            <w:pPr>
              <w:snapToGrid w:val="0"/>
              <w:ind w:firstLine="0" w:firstLineChars="0"/>
              <w:rPr>
                <w:rFonts w:ascii="宋体" w:cs="Times New Roman"/>
                <w:color w:val="auto"/>
                <w:sz w:val="20"/>
              </w:rPr>
            </w:pPr>
            <w:r>
              <w:rPr>
                <w:rFonts w:hint="eastAsia" w:ascii="宋体" w:cs="Times New Roman"/>
                <w:color w:val="auto"/>
                <w:sz w:val="20"/>
              </w:rPr>
              <w:t>应提供会话的安全退出机制：</w:t>
            </w:r>
            <w:r>
              <w:rPr>
                <w:rFonts w:hint="eastAsia" w:ascii="宋体" w:cs="Times New Roman"/>
                <w:color w:val="auto"/>
                <w:sz w:val="20"/>
              </w:rPr>
              <w:br w:type="textWrapping"/>
            </w:r>
            <w:r>
              <w:rPr>
                <w:rFonts w:hint="eastAsia" w:ascii="宋体" w:cs="Times New Roman"/>
                <w:color w:val="auto"/>
                <w:sz w:val="20"/>
              </w:rPr>
              <w:t>（1）安全退出功能，用户退出登录后，服务端立即终止会话，保证无法通过后退、直接输入访问地址等方式重新进入登录后的页面。</w:t>
            </w:r>
            <w:r>
              <w:rPr>
                <w:rFonts w:hint="eastAsia" w:ascii="宋体" w:cs="Times New Roman"/>
                <w:color w:val="auto"/>
                <w:sz w:val="20"/>
              </w:rPr>
              <w:br w:type="textWrapping"/>
            </w:r>
            <w:r>
              <w:rPr>
                <w:rFonts w:hint="eastAsia" w:ascii="宋体" w:cs="Times New Roman"/>
                <w:color w:val="auto"/>
                <w:sz w:val="20"/>
              </w:rPr>
              <w:t>（2）会话超时退出机制，在一定空闲时间后（推荐5分钟），服务端立即终止会话。</w:t>
            </w:r>
          </w:p>
        </w:tc>
      </w:tr>
      <w:tr w14:paraId="7C8B7C67">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127C5484">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46C30FC3">
            <w:pPr>
              <w:snapToGrid w:val="0"/>
              <w:ind w:firstLine="0" w:firstLineChars="0"/>
              <w:rPr>
                <w:rFonts w:ascii="宋体" w:cs="Times New Roman"/>
                <w:color w:val="auto"/>
                <w:sz w:val="20"/>
              </w:rPr>
            </w:pPr>
            <w:r>
              <w:rPr>
                <w:rFonts w:hint="eastAsia" w:ascii="宋体" w:cs="Times New Roman"/>
                <w:color w:val="auto"/>
                <w:sz w:val="20"/>
              </w:rPr>
              <w:t>防CSRF</w:t>
            </w:r>
          </w:p>
        </w:tc>
        <w:tc>
          <w:tcPr>
            <w:tcW w:w="6297" w:type="dxa"/>
            <w:tcBorders>
              <w:top w:val="single" w:color="auto" w:sz="4" w:space="0"/>
              <w:left w:val="nil"/>
              <w:bottom w:val="single" w:color="auto" w:sz="4" w:space="0"/>
              <w:right w:val="single" w:color="auto" w:sz="4" w:space="0"/>
              <w:tl2br w:val="nil"/>
              <w:tr2bl w:val="nil"/>
            </w:tcBorders>
            <w:vAlign w:val="center"/>
          </w:tcPr>
          <w:p w14:paraId="44409471">
            <w:pPr>
              <w:snapToGrid w:val="0"/>
              <w:ind w:firstLine="0" w:firstLineChars="0"/>
              <w:rPr>
                <w:rFonts w:ascii="宋体" w:cs="Times New Roman"/>
                <w:color w:val="auto"/>
                <w:sz w:val="20"/>
              </w:rPr>
            </w:pPr>
            <w:r>
              <w:rPr>
                <w:rFonts w:hint="eastAsia" w:ascii="宋体" w:cs="Times New Roman"/>
                <w:color w:val="auto"/>
                <w:sz w:val="20"/>
              </w:rPr>
              <w:t>应用系统采取双重防护机制防范CSRF攻击：</w:t>
            </w:r>
            <w:r>
              <w:rPr>
                <w:rFonts w:hint="eastAsia" w:ascii="宋体" w:cs="Times New Roman"/>
                <w:color w:val="auto"/>
                <w:sz w:val="20"/>
              </w:rPr>
              <w:br w:type="textWrapping"/>
            </w:r>
            <w:r>
              <w:rPr>
                <w:rFonts w:hint="eastAsia" w:ascii="宋体" w:cs="Times New Roman"/>
                <w:color w:val="auto"/>
                <w:sz w:val="20"/>
              </w:rPr>
              <w:t>服务端应严格校验请求的HTTP Referer头，确保来源域名合法。同时为关键操作绑定随机生成且具备时效性的Token，通过多层级验证有效抵御跨站请求伪造(CSRF)攻击。</w:t>
            </w:r>
          </w:p>
        </w:tc>
      </w:tr>
      <w:tr w14:paraId="0CC5CF98">
        <w:tblPrEx>
          <w:tblCellMar>
            <w:top w:w="0" w:type="dxa"/>
            <w:left w:w="108" w:type="dxa"/>
            <w:bottom w:w="0" w:type="dxa"/>
            <w:right w:w="108" w:type="dxa"/>
          </w:tblCellMar>
        </w:tblPrEx>
        <w:trPr>
          <w:trHeight w:val="1245"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0E3074F4">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74038017">
            <w:pPr>
              <w:snapToGrid w:val="0"/>
              <w:ind w:firstLine="0" w:firstLineChars="0"/>
              <w:rPr>
                <w:rFonts w:ascii="宋体" w:cs="Times New Roman"/>
                <w:color w:val="auto"/>
                <w:sz w:val="20"/>
              </w:rPr>
            </w:pPr>
            <w:r>
              <w:rPr>
                <w:rFonts w:hint="eastAsia" w:ascii="宋体" w:cs="Times New Roman"/>
                <w:color w:val="auto"/>
                <w:sz w:val="20"/>
              </w:rPr>
              <w:t>防重定向</w:t>
            </w:r>
          </w:p>
        </w:tc>
        <w:tc>
          <w:tcPr>
            <w:tcW w:w="6297" w:type="dxa"/>
            <w:tcBorders>
              <w:top w:val="single" w:color="auto" w:sz="4" w:space="0"/>
              <w:left w:val="nil"/>
              <w:bottom w:val="single" w:color="auto" w:sz="4" w:space="0"/>
              <w:right w:val="single" w:color="auto" w:sz="4" w:space="0"/>
              <w:tl2br w:val="nil"/>
              <w:tr2bl w:val="nil"/>
            </w:tcBorders>
            <w:vAlign w:val="center"/>
          </w:tcPr>
          <w:p w14:paraId="4555EF30">
            <w:pPr>
              <w:snapToGrid w:val="0"/>
              <w:ind w:firstLine="0" w:firstLineChars="0"/>
              <w:rPr>
                <w:rFonts w:ascii="宋体" w:cs="Times New Roman"/>
                <w:color w:val="auto"/>
                <w:sz w:val="20"/>
              </w:rPr>
            </w:pPr>
            <w:r>
              <w:rPr>
                <w:rFonts w:hint="eastAsia" w:ascii="宋体" w:cs="Times New Roman"/>
                <w:color w:val="auto"/>
                <w:sz w:val="20"/>
              </w:rPr>
              <w:t>系统应对跳转时的目的url进行限制，不应从用户请求或填写的内容中获取跳转的目标URL，应在后端设定跳转URL，确保跳转地址是授权的白名单或符合行内规则的URL。同时对URL栏位中#、@、\、\\等特殊符号进行校验。</w:t>
            </w:r>
          </w:p>
        </w:tc>
      </w:tr>
      <w:tr w14:paraId="2B887357">
        <w:tblPrEx>
          <w:tblCellMar>
            <w:top w:w="0" w:type="dxa"/>
            <w:left w:w="108" w:type="dxa"/>
            <w:bottom w:w="0" w:type="dxa"/>
            <w:right w:w="108" w:type="dxa"/>
          </w:tblCellMar>
        </w:tblPrEx>
        <w:trPr>
          <w:trHeight w:val="480"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1BB9B4D1">
            <w:pPr>
              <w:snapToGrid w:val="0"/>
              <w:ind w:firstLine="0" w:firstLineChars="0"/>
              <w:rPr>
                <w:rFonts w:ascii="宋体" w:cs="Times New Roman"/>
                <w:color w:val="auto"/>
                <w:sz w:val="20"/>
              </w:rPr>
            </w:pPr>
            <w:r>
              <w:rPr>
                <w:rFonts w:hint="eastAsia" w:ascii="宋体" w:cs="Times New Roman"/>
                <w:color w:val="auto"/>
                <w:sz w:val="20"/>
              </w:rPr>
              <w:t>访问控制</w:t>
            </w: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3E5A6B0D">
            <w:pPr>
              <w:snapToGrid w:val="0"/>
              <w:ind w:firstLine="0" w:firstLineChars="0"/>
              <w:rPr>
                <w:rFonts w:ascii="宋体" w:cs="Times New Roman"/>
                <w:color w:val="auto"/>
                <w:sz w:val="20"/>
              </w:rPr>
            </w:pPr>
            <w:r>
              <w:rPr>
                <w:rFonts w:hint="eastAsia" w:ascii="宋体" w:cs="Times New Roman"/>
                <w:color w:val="auto"/>
                <w:sz w:val="20"/>
              </w:rPr>
              <w:t>未授权访问</w:t>
            </w:r>
          </w:p>
        </w:tc>
        <w:tc>
          <w:tcPr>
            <w:tcW w:w="6297" w:type="dxa"/>
            <w:tcBorders>
              <w:top w:val="single" w:color="auto" w:sz="4" w:space="0"/>
              <w:left w:val="nil"/>
              <w:bottom w:val="single" w:color="auto" w:sz="4" w:space="0"/>
              <w:right w:val="single" w:color="auto" w:sz="4" w:space="0"/>
              <w:tl2br w:val="nil"/>
              <w:tr2bl w:val="nil"/>
            </w:tcBorders>
            <w:vAlign w:val="center"/>
          </w:tcPr>
          <w:p w14:paraId="2DC9A33F">
            <w:pPr>
              <w:snapToGrid w:val="0"/>
              <w:ind w:firstLine="0" w:firstLineChars="0"/>
              <w:rPr>
                <w:rFonts w:ascii="宋体" w:cs="Times New Roman"/>
                <w:color w:val="auto"/>
                <w:sz w:val="20"/>
              </w:rPr>
            </w:pPr>
            <w:r>
              <w:rPr>
                <w:rFonts w:hint="eastAsia" w:ascii="宋体" w:cs="Times New Roman"/>
                <w:color w:val="auto"/>
                <w:sz w:val="20"/>
              </w:rPr>
              <w:t>应建立安全的访问控制机制，禁止未登录用户访问用户登录后的资源、页面或URL。</w:t>
            </w:r>
          </w:p>
        </w:tc>
      </w:tr>
      <w:tr w14:paraId="229686B5">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2CBDA713">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02BF4EE9">
            <w:pPr>
              <w:snapToGrid w:val="0"/>
              <w:ind w:firstLine="0" w:firstLineChars="0"/>
              <w:rPr>
                <w:rFonts w:ascii="宋体" w:cs="Times New Roman"/>
                <w:color w:val="auto"/>
                <w:sz w:val="20"/>
              </w:rPr>
            </w:pPr>
            <w:r>
              <w:rPr>
                <w:rFonts w:hint="eastAsia" w:ascii="宋体" w:cs="Times New Roman"/>
                <w:color w:val="auto"/>
                <w:sz w:val="20"/>
              </w:rPr>
              <w:t>目录列表浏览</w:t>
            </w:r>
          </w:p>
        </w:tc>
        <w:tc>
          <w:tcPr>
            <w:tcW w:w="6297" w:type="dxa"/>
            <w:tcBorders>
              <w:top w:val="single" w:color="auto" w:sz="4" w:space="0"/>
              <w:left w:val="nil"/>
              <w:bottom w:val="single" w:color="auto" w:sz="4" w:space="0"/>
              <w:right w:val="single" w:color="auto" w:sz="4" w:space="0"/>
              <w:tl2br w:val="nil"/>
              <w:tr2bl w:val="nil"/>
            </w:tcBorders>
            <w:vAlign w:val="center"/>
          </w:tcPr>
          <w:p w14:paraId="0042ED4E">
            <w:pPr>
              <w:snapToGrid w:val="0"/>
              <w:ind w:firstLine="0" w:firstLineChars="0"/>
              <w:rPr>
                <w:rFonts w:ascii="宋体" w:cs="Times New Roman"/>
                <w:color w:val="auto"/>
                <w:sz w:val="20"/>
              </w:rPr>
            </w:pPr>
            <w:r>
              <w:rPr>
                <w:rFonts w:hint="eastAsia" w:ascii="宋体" w:cs="Times New Roman"/>
                <w:color w:val="auto"/>
                <w:sz w:val="20"/>
              </w:rPr>
              <w:t>禁止目录列表浏览，防止用户直接输入站点目录，访问Web目录及目录下的文件内容，造成站点信息泄露和文件被未授权下载。</w:t>
            </w:r>
          </w:p>
        </w:tc>
      </w:tr>
      <w:tr w14:paraId="4457952C">
        <w:tblPrEx>
          <w:tblCellMar>
            <w:top w:w="0" w:type="dxa"/>
            <w:left w:w="108" w:type="dxa"/>
            <w:bottom w:w="0" w:type="dxa"/>
            <w:right w:w="108" w:type="dxa"/>
          </w:tblCellMar>
        </w:tblPrEx>
        <w:trPr>
          <w:trHeight w:val="123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03BA8F2A">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2712F76E">
            <w:pPr>
              <w:snapToGrid w:val="0"/>
              <w:ind w:firstLine="0" w:firstLineChars="0"/>
              <w:rPr>
                <w:rFonts w:ascii="宋体" w:cs="Times New Roman"/>
                <w:color w:val="auto"/>
                <w:sz w:val="20"/>
              </w:rPr>
            </w:pPr>
            <w:r>
              <w:rPr>
                <w:rFonts w:hint="eastAsia" w:ascii="宋体" w:cs="Times New Roman"/>
                <w:color w:val="auto"/>
                <w:sz w:val="20"/>
              </w:rPr>
              <w:t>防水平越权</w:t>
            </w:r>
          </w:p>
        </w:tc>
        <w:tc>
          <w:tcPr>
            <w:tcW w:w="6297" w:type="dxa"/>
            <w:tcBorders>
              <w:top w:val="single" w:color="auto" w:sz="4" w:space="0"/>
              <w:left w:val="nil"/>
              <w:bottom w:val="single" w:color="auto" w:sz="4" w:space="0"/>
              <w:right w:val="single" w:color="auto" w:sz="4" w:space="0"/>
              <w:tl2br w:val="nil"/>
              <w:tr2bl w:val="nil"/>
            </w:tcBorders>
            <w:vAlign w:val="center"/>
          </w:tcPr>
          <w:p w14:paraId="1DAB0124">
            <w:pPr>
              <w:snapToGrid w:val="0"/>
              <w:ind w:firstLine="0" w:firstLineChars="0"/>
              <w:rPr>
                <w:rFonts w:ascii="宋体" w:cs="Times New Roman"/>
                <w:color w:val="auto"/>
                <w:sz w:val="20"/>
              </w:rPr>
            </w:pPr>
            <w:r>
              <w:rPr>
                <w:rFonts w:hint="eastAsia" w:ascii="宋体" w:cs="Times New Roman"/>
                <w:color w:val="auto"/>
                <w:sz w:val="20"/>
              </w:rPr>
              <w:t>重要操作（如转账交易、查询类操作、账号修改）时，系统应在服务器端对用户输入数据的合法性和有效性进行校验，防止水平越权（如用户A通过修改账号ID越权对用户B的账号进行操作）。</w:t>
            </w:r>
          </w:p>
        </w:tc>
      </w:tr>
      <w:tr w14:paraId="51ED4F37">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6F02A3AE">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534E3D3A">
            <w:pPr>
              <w:snapToGrid w:val="0"/>
              <w:ind w:firstLine="0" w:firstLineChars="0"/>
              <w:rPr>
                <w:rFonts w:ascii="宋体" w:cs="Times New Roman"/>
                <w:color w:val="auto"/>
                <w:sz w:val="20"/>
              </w:rPr>
            </w:pPr>
            <w:r>
              <w:rPr>
                <w:rFonts w:hint="eastAsia" w:ascii="宋体" w:cs="Times New Roman"/>
                <w:color w:val="auto"/>
                <w:sz w:val="20"/>
              </w:rPr>
              <w:t>防垂直越权</w:t>
            </w:r>
          </w:p>
        </w:tc>
        <w:tc>
          <w:tcPr>
            <w:tcW w:w="6297" w:type="dxa"/>
            <w:tcBorders>
              <w:top w:val="single" w:color="auto" w:sz="4" w:space="0"/>
              <w:left w:val="nil"/>
              <w:bottom w:val="single" w:color="auto" w:sz="4" w:space="0"/>
              <w:right w:val="single" w:color="auto" w:sz="4" w:space="0"/>
              <w:tl2br w:val="nil"/>
              <w:tr2bl w:val="nil"/>
            </w:tcBorders>
            <w:vAlign w:val="center"/>
          </w:tcPr>
          <w:p w14:paraId="7B8FAD03">
            <w:pPr>
              <w:snapToGrid w:val="0"/>
              <w:ind w:firstLine="0" w:firstLineChars="0"/>
              <w:rPr>
                <w:rFonts w:ascii="宋体" w:cs="Times New Roman"/>
                <w:color w:val="auto"/>
                <w:sz w:val="20"/>
              </w:rPr>
            </w:pPr>
            <w:r>
              <w:rPr>
                <w:rFonts w:hint="eastAsia" w:ascii="宋体" w:cs="Times New Roman"/>
                <w:color w:val="auto"/>
                <w:sz w:val="20"/>
              </w:rPr>
              <w:t>（1）授予不同账户为完成各自承担任务所需的最小权限，应严格限制默认账户或预设账户的权限，禁止将所有权限集中在某一预设账户上。</w:t>
            </w:r>
            <w:r>
              <w:rPr>
                <w:rFonts w:hint="eastAsia" w:ascii="宋体" w:cs="Times New Roman"/>
                <w:color w:val="auto"/>
                <w:sz w:val="20"/>
              </w:rPr>
              <w:br w:type="textWrapping"/>
            </w:r>
            <w:r>
              <w:rPr>
                <w:rFonts w:hint="eastAsia" w:ascii="宋体" w:cs="Times New Roman"/>
                <w:color w:val="auto"/>
                <w:sz w:val="20"/>
              </w:rPr>
              <w:t>（2）在为用户授权时，服务器端按照权限规则对权限进行校验，互斥的权限不能共存于一人。如操作和审核权限。</w:t>
            </w:r>
            <w:r>
              <w:rPr>
                <w:rFonts w:hint="eastAsia" w:ascii="宋体" w:cs="Times New Roman"/>
                <w:color w:val="auto"/>
                <w:sz w:val="20"/>
              </w:rPr>
              <w:br w:type="textWrapping"/>
            </w:r>
            <w:r>
              <w:rPr>
                <w:rFonts w:hint="eastAsia" w:ascii="宋体" w:cs="Times New Roman"/>
                <w:color w:val="auto"/>
                <w:sz w:val="20"/>
              </w:rPr>
              <w:t>（3）在重要操作（如账号增删改、授权、业务操作、业务审批）时，系统应在服务器端对当前用户的权限进行校验，防止垂直越权。</w:t>
            </w:r>
          </w:p>
        </w:tc>
      </w:tr>
      <w:tr w14:paraId="3CBB34BA">
        <w:tblPrEx>
          <w:tblCellMar>
            <w:top w:w="0" w:type="dxa"/>
            <w:left w:w="108" w:type="dxa"/>
            <w:bottom w:w="0" w:type="dxa"/>
            <w:right w:w="108" w:type="dxa"/>
          </w:tblCellMar>
        </w:tblPrEx>
        <w:trPr>
          <w:trHeight w:val="1200"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1804C607">
            <w:pPr>
              <w:snapToGrid w:val="0"/>
              <w:ind w:firstLine="0" w:firstLineChars="0"/>
              <w:rPr>
                <w:rFonts w:ascii="宋体" w:cs="Times New Roman"/>
                <w:color w:val="auto"/>
                <w:sz w:val="20"/>
              </w:rPr>
            </w:pPr>
            <w:r>
              <w:rPr>
                <w:rFonts w:hint="eastAsia" w:ascii="宋体" w:cs="Times New Roman"/>
                <w:color w:val="auto"/>
                <w:sz w:val="20"/>
              </w:rPr>
              <w:t>输入校验</w:t>
            </w:r>
          </w:p>
        </w:tc>
        <w:tc>
          <w:tcPr>
            <w:tcW w:w="836" w:type="dxa"/>
            <w:tcBorders>
              <w:top w:val="single" w:color="auto" w:sz="4" w:space="0"/>
              <w:left w:val="nil"/>
              <w:bottom w:val="single" w:color="auto" w:sz="4" w:space="0"/>
              <w:right w:val="single" w:color="auto" w:sz="4" w:space="0"/>
              <w:tl2br w:val="nil"/>
              <w:tr2bl w:val="nil"/>
            </w:tcBorders>
            <w:vAlign w:val="center"/>
          </w:tcPr>
          <w:p w14:paraId="0A2DB43E">
            <w:pPr>
              <w:snapToGrid w:val="0"/>
              <w:ind w:firstLine="0" w:firstLineChars="0"/>
              <w:rPr>
                <w:rFonts w:ascii="宋体" w:cs="Times New Roman"/>
                <w:color w:val="auto"/>
                <w:sz w:val="20"/>
              </w:rPr>
            </w:pPr>
            <w:r>
              <w:rPr>
                <w:rFonts w:hint="eastAsia" w:ascii="宋体" w:cs="Times New Roman"/>
                <w:color w:val="auto"/>
                <w:sz w:val="20"/>
              </w:rPr>
              <w:t>防sql注入</w:t>
            </w:r>
          </w:p>
        </w:tc>
        <w:tc>
          <w:tcPr>
            <w:tcW w:w="6297" w:type="dxa"/>
            <w:tcBorders>
              <w:top w:val="single" w:color="auto" w:sz="4" w:space="0"/>
              <w:left w:val="nil"/>
              <w:bottom w:val="single" w:color="auto" w:sz="4" w:space="0"/>
              <w:right w:val="single" w:color="auto" w:sz="4" w:space="0"/>
              <w:tl2br w:val="nil"/>
              <w:tr2bl w:val="nil"/>
            </w:tcBorders>
            <w:vAlign w:val="center"/>
          </w:tcPr>
          <w:p w14:paraId="16685CC2">
            <w:pPr>
              <w:snapToGrid w:val="0"/>
              <w:ind w:firstLine="0" w:firstLineChars="0"/>
              <w:rPr>
                <w:rFonts w:ascii="宋体" w:cs="Times New Roman"/>
                <w:color w:val="auto"/>
                <w:sz w:val="20"/>
              </w:rPr>
            </w:pPr>
            <w:r>
              <w:rPr>
                <w:rFonts w:hint="eastAsia" w:ascii="宋体" w:cs="Times New Roman"/>
                <w:color w:val="auto"/>
                <w:sz w:val="20"/>
              </w:rPr>
              <w:t>应用系统应具有统一的防SQL注入机制：</w:t>
            </w:r>
            <w:r>
              <w:rPr>
                <w:rFonts w:hint="eastAsia" w:ascii="宋体" w:cs="Times New Roman"/>
                <w:color w:val="auto"/>
                <w:sz w:val="20"/>
              </w:rPr>
              <w:br w:type="textWrapping"/>
            </w:r>
            <w:r>
              <w:rPr>
                <w:rFonts w:hint="eastAsia" w:ascii="宋体" w:cs="Times New Roman"/>
                <w:color w:val="auto"/>
                <w:sz w:val="20"/>
              </w:rPr>
              <w:t>（1）防SQL注入输入校验，至少校验以下危险字符：空字节 →, 1=1和select where from等。</w:t>
            </w:r>
            <w:r>
              <w:rPr>
                <w:rFonts w:hint="eastAsia" w:ascii="宋体" w:cs="Times New Roman"/>
                <w:color w:val="auto"/>
                <w:sz w:val="20"/>
              </w:rPr>
              <w:br w:type="textWrapping"/>
            </w:r>
            <w:r>
              <w:rPr>
                <w:rFonts w:hint="eastAsia" w:ascii="宋体" w:cs="Times New Roman"/>
                <w:color w:val="auto"/>
                <w:sz w:val="20"/>
              </w:rPr>
              <w:t>（2）应使用存储过程或参数化查询，避免使用字符串拼接SQL语句，防止SQL注入。</w:t>
            </w:r>
          </w:p>
        </w:tc>
      </w:tr>
      <w:tr w14:paraId="1406234C">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74E28A86">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31E93768">
            <w:pPr>
              <w:snapToGrid w:val="0"/>
              <w:ind w:firstLine="0" w:firstLineChars="0"/>
              <w:rPr>
                <w:rFonts w:ascii="宋体" w:cs="Times New Roman"/>
                <w:color w:val="auto"/>
                <w:sz w:val="20"/>
              </w:rPr>
            </w:pPr>
            <w:r>
              <w:rPr>
                <w:rFonts w:hint="eastAsia" w:ascii="宋体" w:cs="Times New Roman"/>
                <w:color w:val="auto"/>
                <w:sz w:val="20"/>
              </w:rPr>
              <w:t>防跨站</w:t>
            </w:r>
          </w:p>
        </w:tc>
        <w:tc>
          <w:tcPr>
            <w:tcW w:w="6297" w:type="dxa"/>
            <w:tcBorders>
              <w:top w:val="single" w:color="auto" w:sz="4" w:space="0"/>
              <w:left w:val="nil"/>
              <w:bottom w:val="single" w:color="auto" w:sz="4" w:space="0"/>
              <w:right w:val="single" w:color="auto" w:sz="4" w:space="0"/>
              <w:tl2br w:val="nil"/>
              <w:tr2bl w:val="nil"/>
            </w:tcBorders>
            <w:vAlign w:val="center"/>
          </w:tcPr>
          <w:p w14:paraId="5AFF6D04">
            <w:pPr>
              <w:snapToGrid w:val="0"/>
              <w:ind w:firstLine="0" w:firstLineChars="0"/>
              <w:rPr>
                <w:rFonts w:ascii="宋体" w:cs="Times New Roman"/>
                <w:color w:val="auto"/>
                <w:sz w:val="20"/>
              </w:rPr>
            </w:pPr>
            <w:r>
              <w:rPr>
                <w:rFonts w:hint="eastAsia" w:ascii="宋体" w:cs="Times New Roman"/>
                <w:color w:val="auto"/>
                <w:sz w:val="20"/>
              </w:rPr>
              <w:t>应用系统应具有统一的防XSS跨站校验攻击机制：</w:t>
            </w:r>
            <w:r>
              <w:rPr>
                <w:rFonts w:hint="eastAsia" w:ascii="宋体" w:cs="Times New Roman"/>
                <w:color w:val="auto"/>
                <w:sz w:val="20"/>
              </w:rPr>
              <w:br w:type="textWrapping"/>
            </w:r>
            <w:r>
              <w:rPr>
                <w:rFonts w:hint="eastAsia" w:ascii="宋体" w:cs="Times New Roman"/>
                <w:color w:val="auto"/>
                <w:sz w:val="20"/>
              </w:rPr>
              <w:t>（1）防跨站输入校验，至少应校验以下危险字符：&lt; &gt; " ' % ( ) &amp; + \ \' \"，prompt，script， alert等。</w:t>
            </w:r>
            <w:r>
              <w:rPr>
                <w:rFonts w:hint="eastAsia" w:ascii="宋体" w:cs="Times New Roman"/>
                <w:color w:val="auto"/>
                <w:sz w:val="20"/>
              </w:rPr>
              <w:br w:type="textWrapping"/>
            </w:r>
            <w:r>
              <w:rPr>
                <w:rFonts w:hint="eastAsia" w:ascii="宋体" w:cs="Times New Roman"/>
                <w:color w:val="auto"/>
                <w:sz w:val="20"/>
              </w:rPr>
              <w:t>（2）防跨站输出编码，如果数据是输出到HTML中则进行Html输出编码，如果数据是输出到javascript代码中进行拼接，则进行javascript输出编码。</w:t>
            </w:r>
          </w:p>
        </w:tc>
      </w:tr>
      <w:tr w14:paraId="11F8CB37">
        <w:tblPrEx>
          <w:tblCellMar>
            <w:top w:w="0" w:type="dxa"/>
            <w:left w:w="108" w:type="dxa"/>
            <w:bottom w:w="0" w:type="dxa"/>
            <w:right w:w="108" w:type="dxa"/>
          </w:tblCellMar>
        </w:tblPrEx>
        <w:trPr>
          <w:trHeight w:val="144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4A84E337">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670D8F31">
            <w:pPr>
              <w:snapToGrid w:val="0"/>
              <w:ind w:firstLine="0" w:firstLineChars="0"/>
              <w:rPr>
                <w:rFonts w:ascii="宋体" w:cs="Times New Roman"/>
                <w:color w:val="auto"/>
                <w:sz w:val="20"/>
              </w:rPr>
            </w:pPr>
            <w:r>
              <w:rPr>
                <w:rFonts w:hint="eastAsia" w:ascii="宋体" w:cs="Times New Roman"/>
                <w:color w:val="auto"/>
                <w:sz w:val="20"/>
              </w:rPr>
              <w:t>防csv注入</w:t>
            </w:r>
          </w:p>
        </w:tc>
        <w:tc>
          <w:tcPr>
            <w:tcW w:w="6297" w:type="dxa"/>
            <w:tcBorders>
              <w:top w:val="single" w:color="auto" w:sz="4" w:space="0"/>
              <w:left w:val="nil"/>
              <w:bottom w:val="single" w:color="auto" w:sz="4" w:space="0"/>
              <w:right w:val="single" w:color="auto" w:sz="4" w:space="0"/>
              <w:tl2br w:val="nil"/>
              <w:tr2bl w:val="nil"/>
            </w:tcBorders>
            <w:vAlign w:val="center"/>
          </w:tcPr>
          <w:p w14:paraId="0E3B3F51">
            <w:pPr>
              <w:snapToGrid w:val="0"/>
              <w:ind w:firstLine="0" w:firstLineChars="0"/>
              <w:rPr>
                <w:rFonts w:ascii="宋体" w:cs="Times New Roman"/>
                <w:color w:val="auto"/>
                <w:sz w:val="20"/>
              </w:rPr>
            </w:pPr>
            <w:r>
              <w:rPr>
                <w:rFonts w:hint="eastAsia" w:ascii="宋体" w:cs="Times New Roman"/>
                <w:color w:val="auto"/>
                <w:sz w:val="20"/>
              </w:rPr>
              <w:t>应用系统应具有统一的防csv注入机制：</w:t>
            </w:r>
            <w:r>
              <w:rPr>
                <w:rFonts w:hint="eastAsia" w:ascii="宋体" w:cs="Times New Roman"/>
                <w:color w:val="auto"/>
                <w:sz w:val="20"/>
              </w:rPr>
              <w:br w:type="textWrapping"/>
            </w:r>
            <w:r>
              <w:rPr>
                <w:rFonts w:hint="eastAsia" w:ascii="宋体" w:cs="Times New Roman"/>
                <w:color w:val="auto"/>
                <w:sz w:val="20"/>
              </w:rPr>
              <w:t>（1）确保单元格内容不以特殊字符：+ - @ = 开头，至少校验cmd，HYPERLINK，concat等危险字符。</w:t>
            </w:r>
            <w:r>
              <w:rPr>
                <w:rFonts w:hint="eastAsia" w:ascii="宋体" w:cs="Times New Roman"/>
                <w:color w:val="auto"/>
                <w:sz w:val="20"/>
              </w:rPr>
              <w:br w:type="textWrapping"/>
            </w:r>
            <w:r>
              <w:rPr>
                <w:rFonts w:hint="eastAsia" w:ascii="宋体" w:cs="Times New Roman"/>
                <w:color w:val="auto"/>
                <w:sz w:val="20"/>
              </w:rPr>
              <w:t>（2）导出csv文件时，应使用defusedcsv等安全库进行过滤避免csv攻击。</w:t>
            </w:r>
          </w:p>
        </w:tc>
      </w:tr>
      <w:tr w14:paraId="32B25B87">
        <w:tblPrEx>
          <w:tblCellMar>
            <w:top w:w="0" w:type="dxa"/>
            <w:left w:w="108" w:type="dxa"/>
            <w:bottom w:w="0" w:type="dxa"/>
            <w:right w:w="108" w:type="dxa"/>
          </w:tblCellMar>
        </w:tblPrEx>
        <w:trPr>
          <w:trHeight w:val="1215"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1098A6B8">
            <w:pPr>
              <w:snapToGrid w:val="0"/>
              <w:ind w:firstLine="0" w:firstLineChars="0"/>
              <w:rPr>
                <w:rFonts w:ascii="宋体" w:cs="Times New Roman"/>
                <w:color w:val="auto"/>
                <w:sz w:val="20"/>
              </w:rPr>
            </w:pPr>
            <w:r>
              <w:rPr>
                <w:rFonts w:hint="eastAsia" w:ascii="宋体" w:cs="Times New Roman"/>
                <w:color w:val="auto"/>
                <w:sz w:val="20"/>
              </w:rPr>
              <w:t>数据安全</w:t>
            </w:r>
          </w:p>
        </w:tc>
        <w:tc>
          <w:tcPr>
            <w:tcW w:w="836" w:type="dxa"/>
            <w:tcBorders>
              <w:top w:val="single" w:color="auto" w:sz="4" w:space="0"/>
              <w:left w:val="nil"/>
              <w:bottom w:val="single" w:color="auto" w:sz="4" w:space="0"/>
              <w:right w:val="single" w:color="auto" w:sz="4" w:space="0"/>
              <w:tl2br w:val="nil"/>
              <w:tr2bl w:val="nil"/>
            </w:tcBorders>
            <w:vAlign w:val="center"/>
          </w:tcPr>
          <w:p w14:paraId="4B409AFD">
            <w:pPr>
              <w:snapToGrid w:val="0"/>
              <w:ind w:firstLine="0" w:firstLineChars="0"/>
              <w:rPr>
                <w:rFonts w:ascii="宋体" w:cs="Times New Roman"/>
                <w:color w:val="auto"/>
                <w:sz w:val="20"/>
              </w:rPr>
            </w:pPr>
            <w:r>
              <w:rPr>
                <w:rFonts w:hint="eastAsia" w:ascii="宋体" w:cs="Times New Roman"/>
                <w:color w:val="auto"/>
                <w:sz w:val="20"/>
              </w:rPr>
              <w:t>口令加密存储</w:t>
            </w:r>
          </w:p>
        </w:tc>
        <w:tc>
          <w:tcPr>
            <w:tcW w:w="6297" w:type="dxa"/>
            <w:tcBorders>
              <w:top w:val="single" w:color="auto" w:sz="4" w:space="0"/>
              <w:left w:val="nil"/>
              <w:bottom w:val="single" w:color="auto" w:sz="4" w:space="0"/>
              <w:right w:val="single" w:color="auto" w:sz="4" w:space="0"/>
              <w:tl2br w:val="nil"/>
              <w:tr2bl w:val="nil"/>
            </w:tcBorders>
            <w:vAlign w:val="center"/>
          </w:tcPr>
          <w:p w14:paraId="0886B3F4">
            <w:pPr>
              <w:snapToGrid w:val="0"/>
              <w:ind w:firstLine="0" w:firstLineChars="0"/>
              <w:rPr>
                <w:rFonts w:ascii="宋体" w:cs="Times New Roman"/>
                <w:color w:val="auto"/>
                <w:sz w:val="20"/>
              </w:rPr>
            </w:pPr>
            <w:r>
              <w:rPr>
                <w:rFonts w:hint="eastAsia" w:ascii="宋体" w:cs="Times New Roman"/>
                <w:color w:val="auto"/>
                <w:sz w:val="20"/>
              </w:rPr>
              <w:t>用户口令在存储过程中需进行加密，建议使用md5加盐（随机数）、sha2、pbkdf2等方式进行加密存储，禁止直接使用明文存储，禁止直接使用MD5、sha1等弱加密方式。</w:t>
            </w:r>
          </w:p>
        </w:tc>
      </w:tr>
      <w:tr w14:paraId="2E74F200">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7F6E133F">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3CE5437C">
            <w:pPr>
              <w:snapToGrid w:val="0"/>
              <w:ind w:firstLine="0" w:firstLineChars="0"/>
              <w:rPr>
                <w:rFonts w:ascii="宋体" w:cs="Times New Roman"/>
                <w:color w:val="auto"/>
                <w:sz w:val="20"/>
              </w:rPr>
            </w:pPr>
            <w:r>
              <w:rPr>
                <w:rFonts w:hint="eastAsia" w:ascii="宋体" w:cs="Times New Roman"/>
                <w:color w:val="auto"/>
                <w:sz w:val="20"/>
              </w:rPr>
              <w:t>报文加密</w:t>
            </w:r>
          </w:p>
        </w:tc>
        <w:tc>
          <w:tcPr>
            <w:tcW w:w="6297" w:type="dxa"/>
            <w:tcBorders>
              <w:top w:val="single" w:color="auto" w:sz="4" w:space="0"/>
              <w:left w:val="nil"/>
              <w:bottom w:val="single" w:color="auto" w:sz="4" w:space="0"/>
              <w:right w:val="single" w:color="auto" w:sz="4" w:space="0"/>
              <w:tl2br w:val="nil"/>
              <w:tr2bl w:val="nil"/>
            </w:tcBorders>
            <w:vAlign w:val="center"/>
          </w:tcPr>
          <w:p w14:paraId="425ABF98">
            <w:pPr>
              <w:snapToGrid w:val="0"/>
              <w:ind w:firstLine="0" w:firstLineChars="0"/>
              <w:rPr>
                <w:rFonts w:ascii="宋体" w:cs="Times New Roman"/>
                <w:color w:val="auto"/>
                <w:sz w:val="20"/>
              </w:rPr>
            </w:pPr>
            <w:r>
              <w:rPr>
                <w:rFonts w:hint="eastAsia" w:ascii="宋体" w:cs="Times New Roman"/>
                <w:color w:val="auto"/>
                <w:sz w:val="20"/>
              </w:rPr>
              <w:t>如果使用app客户端或微信客户端，涉及客户重要信息查询（账户信息查询等）、重要业务操作（交易类操作），应从代码层面，对通信报文进行加密，至少对request请求加密，也可对response响应加密。</w:t>
            </w:r>
          </w:p>
        </w:tc>
      </w:tr>
      <w:tr w14:paraId="5673E804">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5774C44A">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359B2001">
            <w:pPr>
              <w:snapToGrid w:val="0"/>
              <w:ind w:firstLine="0" w:firstLineChars="0"/>
              <w:rPr>
                <w:rFonts w:ascii="宋体" w:cs="Times New Roman"/>
                <w:color w:val="auto"/>
                <w:sz w:val="20"/>
              </w:rPr>
            </w:pPr>
            <w:r>
              <w:rPr>
                <w:rFonts w:hint="eastAsia" w:ascii="宋体" w:cs="Times New Roman"/>
                <w:color w:val="auto"/>
                <w:sz w:val="20"/>
              </w:rPr>
              <w:t>多余信息返回</w:t>
            </w:r>
          </w:p>
        </w:tc>
        <w:tc>
          <w:tcPr>
            <w:tcW w:w="6297" w:type="dxa"/>
            <w:tcBorders>
              <w:top w:val="single" w:color="auto" w:sz="4" w:space="0"/>
              <w:left w:val="nil"/>
              <w:bottom w:val="single" w:color="auto" w:sz="4" w:space="0"/>
              <w:right w:val="single" w:color="auto" w:sz="4" w:space="0"/>
              <w:tl2br w:val="nil"/>
              <w:tr2bl w:val="nil"/>
            </w:tcBorders>
            <w:vAlign w:val="center"/>
          </w:tcPr>
          <w:p w14:paraId="1B278707">
            <w:pPr>
              <w:snapToGrid w:val="0"/>
              <w:ind w:firstLine="0" w:firstLineChars="0"/>
              <w:rPr>
                <w:rFonts w:ascii="宋体" w:cs="Times New Roman"/>
                <w:color w:val="auto"/>
                <w:sz w:val="20"/>
              </w:rPr>
            </w:pPr>
            <w:r>
              <w:rPr>
                <w:rFonts w:hint="eastAsia" w:ascii="宋体" w:cs="Times New Roman"/>
                <w:color w:val="auto"/>
                <w:sz w:val="20"/>
              </w:rPr>
              <w:t>（1）对服务器返回的参数做严格的限制，保证不是功能必须的参数不在返回的参数中，防止多余信息引起的数据泄露。</w:t>
            </w:r>
            <w:r>
              <w:rPr>
                <w:rFonts w:hint="eastAsia" w:ascii="宋体" w:cs="Times New Roman"/>
                <w:color w:val="auto"/>
                <w:sz w:val="20"/>
              </w:rPr>
              <w:br w:type="textWrapping"/>
            </w:r>
            <w:r>
              <w:rPr>
                <w:rFonts w:hint="eastAsia" w:ascii="宋体" w:cs="Times New Roman"/>
                <w:color w:val="auto"/>
                <w:sz w:val="20"/>
              </w:rPr>
              <w:t>（2）对服务器返回的内容做严格限制，系统在无业务需求的情况下，不应直接将绝对路径、内网IP、账号口令等信息返回给前端。</w:t>
            </w:r>
          </w:p>
        </w:tc>
      </w:tr>
      <w:tr w14:paraId="2BD1A4A8">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3798BE71">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79CEB87C">
            <w:pPr>
              <w:snapToGrid w:val="0"/>
              <w:ind w:firstLine="0" w:firstLineChars="0"/>
              <w:rPr>
                <w:rFonts w:ascii="宋体" w:cs="Times New Roman"/>
                <w:color w:val="auto"/>
                <w:sz w:val="20"/>
              </w:rPr>
            </w:pPr>
            <w:r>
              <w:rPr>
                <w:rFonts w:hint="eastAsia" w:ascii="宋体" w:cs="Times New Roman"/>
                <w:color w:val="auto"/>
                <w:sz w:val="20"/>
              </w:rPr>
              <w:t>敏感信息显示要求</w:t>
            </w:r>
          </w:p>
        </w:tc>
        <w:tc>
          <w:tcPr>
            <w:tcW w:w="6297" w:type="dxa"/>
            <w:tcBorders>
              <w:top w:val="single" w:color="auto" w:sz="4" w:space="0"/>
              <w:left w:val="nil"/>
              <w:bottom w:val="single" w:color="auto" w:sz="4" w:space="0"/>
              <w:right w:val="single" w:color="auto" w:sz="4" w:space="0"/>
              <w:tl2br w:val="nil"/>
              <w:tr2bl w:val="nil"/>
            </w:tcBorders>
            <w:vAlign w:val="center"/>
          </w:tcPr>
          <w:p w14:paraId="0A88592C">
            <w:pPr>
              <w:snapToGrid w:val="0"/>
              <w:ind w:firstLine="0" w:firstLineChars="0"/>
              <w:rPr>
                <w:rFonts w:ascii="宋体" w:cs="Times New Roman"/>
                <w:color w:val="auto"/>
                <w:sz w:val="20"/>
              </w:rPr>
            </w:pPr>
            <w:r>
              <w:rPr>
                <w:rFonts w:hint="eastAsia" w:ascii="宋体" w:cs="Times New Roman"/>
                <w:color w:val="auto"/>
                <w:sz w:val="20"/>
              </w:rPr>
              <w:t>避免在html页面、js文件、客户端等前端上直接显示绝对路径、内网IP地址、账号口令等敏感信息。如：</w:t>
            </w:r>
            <w:r>
              <w:rPr>
                <w:rFonts w:hint="eastAsia" w:ascii="宋体" w:cs="Times New Roman"/>
                <w:color w:val="auto"/>
                <w:sz w:val="20"/>
              </w:rPr>
              <w:br w:type="textWrapping"/>
            </w:r>
            <w:r>
              <w:rPr>
                <w:rFonts w:hint="eastAsia" w:ascii="宋体" w:cs="Times New Roman"/>
                <w:color w:val="auto"/>
                <w:sz w:val="20"/>
              </w:rPr>
              <w:t>http://10.32.21.1/index.js;</w:t>
            </w:r>
            <w:r>
              <w:rPr>
                <w:rFonts w:hint="eastAsia" w:ascii="宋体" w:cs="Times New Roman"/>
                <w:color w:val="auto"/>
                <w:sz w:val="20"/>
              </w:rPr>
              <w:br w:type="textWrapping"/>
            </w:r>
            <w:r>
              <w:rPr>
                <w:rFonts w:hint="eastAsia" w:ascii="宋体" w:cs="Times New Roman"/>
                <w:color w:val="auto"/>
                <w:sz w:val="20"/>
              </w:rPr>
              <w:t>/var/www/html;</w:t>
            </w:r>
            <w:r>
              <w:rPr>
                <w:rFonts w:hint="eastAsia" w:ascii="宋体" w:cs="Times New Roman"/>
                <w:color w:val="auto"/>
                <w:sz w:val="20"/>
              </w:rPr>
              <w:br w:type="textWrapping"/>
            </w:r>
            <w:r>
              <w:rPr>
                <w:rFonts w:hint="eastAsia" w:ascii="宋体" w:cs="Times New Roman"/>
                <w:color w:val="auto"/>
                <w:sz w:val="20"/>
              </w:rPr>
              <w:t>user=admin,pass=admin;</w:t>
            </w:r>
          </w:p>
        </w:tc>
      </w:tr>
      <w:tr w14:paraId="0AF6E5B3">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24A6994C">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2653D167">
            <w:pPr>
              <w:snapToGrid w:val="0"/>
              <w:ind w:firstLine="0" w:firstLineChars="0"/>
              <w:rPr>
                <w:rFonts w:ascii="宋体" w:cs="Times New Roman"/>
                <w:color w:val="auto"/>
                <w:sz w:val="20"/>
              </w:rPr>
            </w:pPr>
            <w:r>
              <w:rPr>
                <w:rFonts w:hint="eastAsia" w:ascii="宋体" w:cs="Times New Roman"/>
                <w:color w:val="auto"/>
                <w:sz w:val="20"/>
              </w:rPr>
              <w:t>数据有效性校验</w:t>
            </w:r>
          </w:p>
        </w:tc>
        <w:tc>
          <w:tcPr>
            <w:tcW w:w="6297" w:type="dxa"/>
            <w:tcBorders>
              <w:top w:val="single" w:color="auto" w:sz="4" w:space="0"/>
              <w:left w:val="nil"/>
              <w:bottom w:val="single" w:color="auto" w:sz="4" w:space="0"/>
              <w:right w:val="single" w:color="auto" w:sz="4" w:space="0"/>
              <w:tl2br w:val="nil"/>
              <w:tr2bl w:val="nil"/>
            </w:tcBorders>
            <w:vAlign w:val="center"/>
          </w:tcPr>
          <w:p w14:paraId="78951942">
            <w:pPr>
              <w:snapToGrid w:val="0"/>
              <w:ind w:firstLine="0" w:firstLineChars="0"/>
              <w:rPr>
                <w:rFonts w:ascii="宋体" w:cs="Times New Roman"/>
                <w:color w:val="auto"/>
                <w:sz w:val="20"/>
              </w:rPr>
            </w:pPr>
            <w:r>
              <w:rPr>
                <w:rFonts w:hint="eastAsia" w:ascii="宋体" w:cs="Times New Roman"/>
                <w:color w:val="auto"/>
                <w:sz w:val="20"/>
              </w:rPr>
              <w:t>系统的业务逻辑应具备严格的数据验证机制，确保关键参数在遭遇空值、0值、负数、超大数、非法字符串、或参数整体缺失时，不会引发全量数据泄露、业务流程绕过、系统内存溢出等安全问题。</w:t>
            </w:r>
          </w:p>
        </w:tc>
      </w:tr>
      <w:tr w14:paraId="46E8D384">
        <w:tblPrEx>
          <w:tblCellMar>
            <w:top w:w="0" w:type="dxa"/>
            <w:left w:w="108" w:type="dxa"/>
            <w:bottom w:w="0" w:type="dxa"/>
            <w:right w:w="108" w:type="dxa"/>
          </w:tblCellMar>
        </w:tblPrEx>
        <w:trPr>
          <w:trHeight w:val="120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3CD6CD15">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17867C4B">
            <w:pPr>
              <w:snapToGrid w:val="0"/>
              <w:ind w:firstLine="0" w:firstLineChars="0"/>
              <w:rPr>
                <w:rFonts w:ascii="宋体" w:cs="Times New Roman"/>
                <w:color w:val="auto"/>
                <w:sz w:val="20"/>
              </w:rPr>
            </w:pPr>
            <w:r>
              <w:rPr>
                <w:rFonts w:hint="eastAsia" w:ascii="宋体" w:cs="Times New Roman"/>
                <w:color w:val="auto"/>
                <w:sz w:val="20"/>
              </w:rPr>
              <w:t>测试数据清除</w:t>
            </w:r>
          </w:p>
        </w:tc>
        <w:tc>
          <w:tcPr>
            <w:tcW w:w="6297" w:type="dxa"/>
            <w:tcBorders>
              <w:top w:val="single" w:color="auto" w:sz="4" w:space="0"/>
              <w:left w:val="nil"/>
              <w:bottom w:val="single" w:color="auto" w:sz="4" w:space="0"/>
              <w:right w:val="single" w:color="auto" w:sz="4" w:space="0"/>
              <w:tl2br w:val="nil"/>
              <w:tr2bl w:val="nil"/>
            </w:tcBorders>
            <w:vAlign w:val="center"/>
          </w:tcPr>
          <w:p w14:paraId="1D5AFEAC">
            <w:pPr>
              <w:snapToGrid w:val="0"/>
              <w:ind w:firstLine="0" w:firstLineChars="0"/>
              <w:rPr>
                <w:rFonts w:ascii="宋体" w:cs="Times New Roman"/>
                <w:color w:val="auto"/>
                <w:sz w:val="20"/>
              </w:rPr>
            </w:pPr>
            <w:r>
              <w:rPr>
                <w:rFonts w:hint="eastAsia" w:ascii="宋体" w:cs="Times New Roman"/>
                <w:color w:val="auto"/>
                <w:sz w:val="20"/>
              </w:rPr>
              <w:t>应在系统发布生产环境前执行以下数据清理:</w:t>
            </w:r>
            <w:r>
              <w:rPr>
                <w:rFonts w:hint="eastAsia" w:ascii="宋体" w:cs="Times New Roman"/>
                <w:color w:val="auto"/>
                <w:sz w:val="20"/>
              </w:rPr>
              <w:br w:type="textWrapping"/>
            </w:r>
            <w:r>
              <w:rPr>
                <w:rFonts w:hint="eastAsia" w:ascii="宋体" w:cs="Times New Roman"/>
                <w:color w:val="auto"/>
                <w:sz w:val="20"/>
              </w:rPr>
              <w:t>（1）全面清除模拟业务流程、测试账号、虚假交易数据、业务单据及测试用优惠券/虚拟商品。</w:t>
            </w:r>
            <w:r>
              <w:rPr>
                <w:rFonts w:hint="eastAsia" w:ascii="宋体" w:cs="Times New Roman"/>
                <w:color w:val="auto"/>
                <w:sz w:val="20"/>
              </w:rPr>
              <w:br w:type="textWrapping"/>
            </w:r>
            <w:r>
              <w:rPr>
                <w:rFonts w:hint="eastAsia" w:ascii="宋体" w:cs="Times New Roman"/>
                <w:color w:val="auto"/>
                <w:sz w:val="20"/>
              </w:rPr>
              <w:t>（2）脱敏处理所有真实用户个人信息，删除万能验证码、通用密码及越权令牌，清理包含内部业务逻辑的调试日志及错误堆栈信息。</w:t>
            </w:r>
            <w:r>
              <w:rPr>
                <w:rFonts w:hint="eastAsia" w:ascii="宋体" w:cs="Times New Roman"/>
                <w:color w:val="auto"/>
                <w:sz w:val="20"/>
              </w:rPr>
              <w:br w:type="textWrapping"/>
            </w:r>
            <w:r>
              <w:rPr>
                <w:rFonts w:hint="eastAsia" w:ascii="宋体" w:cs="Times New Roman"/>
                <w:color w:val="auto"/>
                <w:sz w:val="20"/>
              </w:rPr>
              <w:t>（3）移除前端调试导航路由，回收测试专用特殊权限，确保所有配置符合生产环境标准。</w:t>
            </w:r>
          </w:p>
        </w:tc>
      </w:tr>
      <w:tr w14:paraId="75565394">
        <w:tblPrEx>
          <w:tblCellMar>
            <w:top w:w="0" w:type="dxa"/>
            <w:left w:w="108" w:type="dxa"/>
            <w:bottom w:w="0" w:type="dxa"/>
            <w:right w:w="108" w:type="dxa"/>
          </w:tblCellMar>
        </w:tblPrEx>
        <w:trPr>
          <w:trHeight w:val="216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6D075048">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vAlign w:val="center"/>
          </w:tcPr>
          <w:p w14:paraId="4C9FD87C">
            <w:pPr>
              <w:snapToGrid w:val="0"/>
              <w:ind w:firstLine="0" w:firstLineChars="0"/>
              <w:rPr>
                <w:rFonts w:ascii="宋体" w:cs="Times New Roman"/>
                <w:color w:val="auto"/>
                <w:sz w:val="20"/>
              </w:rPr>
            </w:pPr>
            <w:r>
              <w:rPr>
                <w:rFonts w:hint="eastAsia" w:ascii="宋体" w:cs="Times New Roman"/>
                <w:color w:val="auto"/>
                <w:sz w:val="20"/>
              </w:rPr>
              <w:t>敏感数据脱敏</w:t>
            </w:r>
          </w:p>
        </w:tc>
        <w:tc>
          <w:tcPr>
            <w:tcW w:w="6297" w:type="dxa"/>
            <w:tcBorders>
              <w:top w:val="single" w:color="auto" w:sz="4" w:space="0"/>
              <w:left w:val="nil"/>
              <w:bottom w:val="single" w:color="auto" w:sz="4" w:space="0"/>
              <w:right w:val="single" w:color="auto" w:sz="4" w:space="0"/>
              <w:tl2br w:val="nil"/>
              <w:tr2bl w:val="nil"/>
            </w:tcBorders>
            <w:vAlign w:val="center"/>
          </w:tcPr>
          <w:p w14:paraId="2B40F07A">
            <w:pPr>
              <w:snapToGrid w:val="0"/>
              <w:ind w:firstLine="0" w:firstLineChars="0"/>
              <w:rPr>
                <w:rFonts w:ascii="宋体" w:cs="Times New Roman"/>
                <w:color w:val="auto"/>
                <w:sz w:val="20"/>
              </w:rPr>
            </w:pPr>
            <w:r>
              <w:rPr>
                <w:rFonts w:hint="eastAsia" w:ascii="宋体" w:cs="Times New Roman"/>
                <w:color w:val="auto"/>
                <w:sz w:val="20"/>
              </w:rPr>
              <w:t>（1）敏感数据在显示时，应进行脱敏处理，如：</w:t>
            </w:r>
            <w:r>
              <w:rPr>
                <w:rFonts w:hint="eastAsia" w:ascii="宋体" w:cs="Times New Roman"/>
                <w:color w:val="auto"/>
                <w:sz w:val="20"/>
              </w:rPr>
              <w:br w:type="textWrapping"/>
            </w:r>
            <w:r>
              <w:rPr>
                <w:rFonts w:hint="eastAsia" w:ascii="宋体" w:cs="Times New Roman"/>
                <w:color w:val="auto"/>
                <w:sz w:val="20"/>
              </w:rPr>
              <w:t>姓名：张三脱敏为*三</w:t>
            </w:r>
            <w:r>
              <w:rPr>
                <w:rFonts w:hint="eastAsia" w:ascii="宋体" w:cs="Times New Roman"/>
                <w:color w:val="auto"/>
                <w:sz w:val="20"/>
              </w:rPr>
              <w:br w:type="textWrapping"/>
            </w:r>
            <w:r>
              <w:rPr>
                <w:rFonts w:hint="eastAsia" w:ascii="宋体" w:cs="Times New Roman"/>
                <w:color w:val="auto"/>
                <w:sz w:val="20"/>
              </w:rPr>
              <w:t>身份证号：1002**********1237</w:t>
            </w:r>
            <w:r>
              <w:rPr>
                <w:rFonts w:hint="eastAsia" w:ascii="宋体" w:cs="Times New Roman"/>
                <w:color w:val="auto"/>
                <w:sz w:val="20"/>
              </w:rPr>
              <w:br w:type="textWrapping"/>
            </w:r>
            <w:r>
              <w:rPr>
                <w:rFonts w:hint="eastAsia" w:ascii="宋体" w:cs="Times New Roman"/>
                <w:color w:val="auto"/>
                <w:sz w:val="20"/>
              </w:rPr>
              <w:t>手机号：186****0781</w:t>
            </w:r>
            <w:r>
              <w:rPr>
                <w:rFonts w:hint="eastAsia" w:ascii="宋体" w:cs="Times New Roman"/>
                <w:color w:val="auto"/>
                <w:sz w:val="20"/>
              </w:rPr>
              <w:br w:type="textWrapping"/>
            </w:r>
            <w:r>
              <w:rPr>
                <w:rFonts w:hint="eastAsia" w:ascii="宋体" w:cs="Times New Roman"/>
                <w:color w:val="auto"/>
                <w:sz w:val="20"/>
              </w:rPr>
              <w:t>银行卡号：623078*********4846</w:t>
            </w:r>
            <w:r>
              <w:rPr>
                <w:rFonts w:hint="eastAsia" w:ascii="宋体" w:cs="Times New Roman"/>
                <w:color w:val="auto"/>
                <w:sz w:val="20"/>
              </w:rPr>
              <w:br w:type="textWrapping"/>
            </w:r>
            <w:r>
              <w:rPr>
                <w:rFonts w:hint="eastAsia" w:ascii="宋体" w:cs="Times New Roman"/>
                <w:color w:val="auto"/>
                <w:sz w:val="20"/>
              </w:rPr>
              <w:t>住址：****3单元302</w:t>
            </w:r>
            <w:r>
              <w:rPr>
                <w:rFonts w:hint="eastAsia" w:ascii="宋体" w:cs="Times New Roman"/>
                <w:color w:val="auto"/>
                <w:sz w:val="20"/>
              </w:rPr>
              <w:br w:type="textWrapping"/>
            </w:r>
            <w:r>
              <w:rPr>
                <w:rFonts w:hint="eastAsia" w:ascii="宋体" w:cs="Times New Roman"/>
                <w:color w:val="auto"/>
                <w:sz w:val="20"/>
              </w:rPr>
              <w:t>（2）敏感数据在互联网传输时，应在应用层保持端到端加密，既保证数据在从源点到终点的过程中始终以密文形式或脱敏形式存在，防止被中间人截取到完整的明文敏感信息。</w:t>
            </w:r>
          </w:p>
        </w:tc>
      </w:tr>
      <w:tr w14:paraId="44B24712">
        <w:tblPrEx>
          <w:tblCellMar>
            <w:top w:w="0" w:type="dxa"/>
            <w:left w:w="108" w:type="dxa"/>
            <w:bottom w:w="0" w:type="dxa"/>
            <w:right w:w="108" w:type="dxa"/>
          </w:tblCellMar>
        </w:tblPrEx>
        <w:trPr>
          <w:trHeight w:val="1440"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0BD15E1D">
            <w:pPr>
              <w:snapToGrid w:val="0"/>
              <w:ind w:firstLine="0" w:firstLineChars="0"/>
              <w:rPr>
                <w:rFonts w:ascii="宋体" w:cs="Times New Roman"/>
                <w:color w:val="auto"/>
                <w:sz w:val="20"/>
              </w:rPr>
            </w:pPr>
            <w:r>
              <w:rPr>
                <w:rFonts w:hint="eastAsia" w:ascii="宋体" w:cs="Times New Roman"/>
                <w:color w:val="auto"/>
                <w:sz w:val="20"/>
              </w:rPr>
              <w:t>安全审计</w:t>
            </w: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7A14300F">
            <w:pPr>
              <w:snapToGrid w:val="0"/>
              <w:ind w:firstLine="0" w:firstLineChars="0"/>
              <w:rPr>
                <w:rFonts w:ascii="宋体" w:cs="Times New Roman"/>
                <w:color w:val="auto"/>
                <w:sz w:val="20"/>
              </w:rPr>
            </w:pPr>
            <w:r>
              <w:rPr>
                <w:rFonts w:hint="eastAsia" w:ascii="宋体" w:cs="Times New Roman"/>
                <w:color w:val="auto"/>
                <w:sz w:val="20"/>
              </w:rPr>
              <w:t>安全审计</w:t>
            </w:r>
          </w:p>
        </w:tc>
        <w:tc>
          <w:tcPr>
            <w:tcW w:w="6297" w:type="dxa"/>
            <w:tcBorders>
              <w:top w:val="single" w:color="auto" w:sz="4" w:space="0"/>
              <w:left w:val="nil"/>
              <w:bottom w:val="single" w:color="auto" w:sz="4" w:space="0"/>
              <w:right w:val="single" w:color="auto" w:sz="4" w:space="0"/>
              <w:tl2br w:val="nil"/>
              <w:tr2bl w:val="nil"/>
            </w:tcBorders>
            <w:vAlign w:val="center"/>
          </w:tcPr>
          <w:p w14:paraId="7384B21F">
            <w:pPr>
              <w:snapToGrid w:val="0"/>
              <w:ind w:firstLine="0" w:firstLineChars="0"/>
              <w:rPr>
                <w:rFonts w:ascii="宋体" w:cs="Times New Roman"/>
                <w:color w:val="auto"/>
                <w:sz w:val="20"/>
              </w:rPr>
            </w:pPr>
            <w:r>
              <w:rPr>
                <w:rFonts w:hint="eastAsia" w:ascii="宋体" w:cs="Times New Roman"/>
                <w:color w:val="auto"/>
                <w:sz w:val="20"/>
              </w:rPr>
              <w:t>应用系统应具有覆盖到每个用户的日志记录功能：</w:t>
            </w:r>
            <w:r>
              <w:rPr>
                <w:rFonts w:hint="eastAsia" w:ascii="宋体" w:cs="Times New Roman"/>
                <w:color w:val="auto"/>
                <w:sz w:val="20"/>
              </w:rPr>
              <w:br w:type="textWrapping"/>
            </w:r>
            <w:r>
              <w:rPr>
                <w:rFonts w:hint="eastAsia" w:ascii="宋体" w:cs="Times New Roman"/>
                <w:color w:val="auto"/>
                <w:sz w:val="20"/>
              </w:rPr>
              <w:t>（1）用户成功和失败登录、退出事件；</w:t>
            </w:r>
            <w:r>
              <w:rPr>
                <w:rFonts w:hint="eastAsia" w:ascii="宋体" w:cs="Times New Roman"/>
                <w:color w:val="auto"/>
                <w:sz w:val="20"/>
              </w:rPr>
              <w:br w:type="textWrapping"/>
            </w:r>
            <w:r>
              <w:rPr>
                <w:rFonts w:hint="eastAsia" w:ascii="宋体" w:cs="Times New Roman"/>
                <w:color w:val="auto"/>
                <w:sz w:val="20"/>
              </w:rPr>
              <w:t>（2）更改重要应用系统级参数、用户管理相关事件、交易事件等；</w:t>
            </w:r>
            <w:r>
              <w:rPr>
                <w:rFonts w:hint="eastAsia" w:ascii="宋体" w:cs="Times New Roman"/>
                <w:color w:val="auto"/>
                <w:sz w:val="20"/>
              </w:rPr>
              <w:br w:type="textWrapping"/>
            </w:r>
            <w:r>
              <w:rPr>
                <w:rFonts w:hint="eastAsia" w:ascii="宋体" w:cs="Times New Roman"/>
                <w:color w:val="auto"/>
                <w:sz w:val="20"/>
              </w:rPr>
              <w:t>（3）对于每一个事件，其审计记录应包括事件的日期和时间、IP地址、访问者标识、事件类型、事件结果、变更事项等内容。</w:t>
            </w:r>
            <w:r>
              <w:rPr>
                <w:rFonts w:hint="eastAsia" w:ascii="宋体" w:cs="Times New Roman"/>
                <w:color w:val="auto"/>
                <w:sz w:val="20"/>
              </w:rPr>
              <w:br w:type="textWrapping"/>
            </w:r>
            <w:r>
              <w:rPr>
                <w:rFonts w:hint="eastAsia" w:ascii="宋体" w:cs="Times New Roman"/>
                <w:color w:val="auto"/>
                <w:sz w:val="20"/>
              </w:rPr>
              <w:t>（4）不应系统日志中存储认证敏感信息。</w:t>
            </w:r>
          </w:p>
        </w:tc>
      </w:tr>
      <w:tr w14:paraId="632E26B9">
        <w:tblPrEx>
          <w:tblCellMar>
            <w:top w:w="0" w:type="dxa"/>
            <w:left w:w="108" w:type="dxa"/>
            <w:bottom w:w="0" w:type="dxa"/>
            <w:right w:w="108" w:type="dxa"/>
          </w:tblCellMar>
        </w:tblPrEx>
        <w:trPr>
          <w:trHeight w:val="96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065D6877">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487D586C">
            <w:pPr>
              <w:snapToGrid w:val="0"/>
              <w:ind w:firstLine="0" w:firstLineChars="0"/>
              <w:rPr>
                <w:rFonts w:ascii="宋体" w:cs="Times New Roman"/>
                <w:color w:val="auto"/>
                <w:sz w:val="20"/>
              </w:rPr>
            </w:pPr>
            <w:r>
              <w:rPr>
                <w:rFonts w:hint="eastAsia" w:ascii="宋体" w:cs="Times New Roman"/>
                <w:color w:val="auto"/>
                <w:sz w:val="20"/>
              </w:rPr>
              <w:t>审计记录保护</w:t>
            </w:r>
          </w:p>
        </w:tc>
        <w:tc>
          <w:tcPr>
            <w:tcW w:w="6297" w:type="dxa"/>
            <w:tcBorders>
              <w:top w:val="single" w:color="auto" w:sz="4" w:space="0"/>
              <w:left w:val="nil"/>
              <w:bottom w:val="single" w:color="auto" w:sz="4" w:space="0"/>
              <w:right w:val="single" w:color="auto" w:sz="4" w:space="0"/>
              <w:tl2br w:val="nil"/>
              <w:tr2bl w:val="nil"/>
            </w:tcBorders>
            <w:vAlign w:val="center"/>
          </w:tcPr>
          <w:p w14:paraId="0BB6141C">
            <w:pPr>
              <w:snapToGrid w:val="0"/>
              <w:ind w:firstLine="0" w:firstLineChars="0"/>
              <w:rPr>
                <w:rFonts w:ascii="宋体" w:cs="Times New Roman"/>
                <w:color w:val="auto"/>
                <w:sz w:val="20"/>
              </w:rPr>
            </w:pPr>
            <w:r>
              <w:rPr>
                <w:rFonts w:hint="eastAsia" w:ascii="宋体" w:cs="Times New Roman"/>
                <w:color w:val="auto"/>
                <w:sz w:val="20"/>
              </w:rPr>
              <w:t>（1）应用系统在没有业务需求的情况下不应提供审计记录删除和修改功能。</w:t>
            </w:r>
            <w:r>
              <w:rPr>
                <w:rFonts w:hint="eastAsia" w:ascii="宋体" w:cs="Times New Roman"/>
                <w:color w:val="auto"/>
                <w:sz w:val="20"/>
              </w:rPr>
              <w:br w:type="textWrapping"/>
            </w:r>
            <w:r>
              <w:rPr>
                <w:rFonts w:hint="eastAsia" w:ascii="宋体" w:cs="Times New Roman"/>
                <w:color w:val="auto"/>
                <w:sz w:val="20"/>
              </w:rPr>
              <w:t>（2）应用系统日志应受到保护，限制只有授权的个人才能访问日志，避免被非授权访问。</w:t>
            </w:r>
          </w:p>
        </w:tc>
      </w:tr>
      <w:tr w14:paraId="410B0992">
        <w:tblPrEx>
          <w:tblCellMar>
            <w:top w:w="0" w:type="dxa"/>
            <w:left w:w="108" w:type="dxa"/>
            <w:bottom w:w="0" w:type="dxa"/>
            <w:right w:w="108" w:type="dxa"/>
          </w:tblCellMar>
        </w:tblPrEx>
        <w:trPr>
          <w:trHeight w:val="720" w:hRule="atLeast"/>
        </w:trPr>
        <w:tc>
          <w:tcPr>
            <w:tcW w:w="1157" w:type="dxa"/>
            <w:vMerge w:val="restart"/>
            <w:tcBorders>
              <w:top w:val="nil"/>
              <w:left w:val="single" w:color="auto" w:sz="4" w:space="0"/>
              <w:bottom w:val="single" w:color="auto" w:sz="4" w:space="0"/>
              <w:right w:val="single" w:color="auto" w:sz="4" w:space="0"/>
              <w:tl2br w:val="nil"/>
              <w:tr2bl w:val="nil"/>
            </w:tcBorders>
            <w:vAlign w:val="center"/>
          </w:tcPr>
          <w:p w14:paraId="7C907C04">
            <w:pPr>
              <w:snapToGrid w:val="0"/>
              <w:ind w:firstLine="0" w:firstLineChars="0"/>
              <w:rPr>
                <w:rFonts w:ascii="宋体" w:cs="Times New Roman"/>
                <w:color w:val="auto"/>
                <w:sz w:val="20"/>
              </w:rPr>
            </w:pPr>
            <w:r>
              <w:rPr>
                <w:rFonts w:hint="eastAsia" w:ascii="宋体" w:cs="Times New Roman"/>
                <w:color w:val="auto"/>
                <w:sz w:val="20"/>
              </w:rPr>
              <w:t>系统容错</w:t>
            </w: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4DF2AC79">
            <w:pPr>
              <w:snapToGrid w:val="0"/>
              <w:ind w:firstLine="0" w:firstLineChars="0"/>
              <w:rPr>
                <w:rFonts w:ascii="宋体" w:cs="Times New Roman"/>
                <w:color w:val="auto"/>
                <w:sz w:val="20"/>
              </w:rPr>
            </w:pPr>
            <w:r>
              <w:rPr>
                <w:rFonts w:hint="eastAsia" w:ascii="宋体" w:cs="Times New Roman"/>
                <w:color w:val="auto"/>
                <w:sz w:val="20"/>
              </w:rPr>
              <w:t>容错设计</w:t>
            </w:r>
          </w:p>
        </w:tc>
        <w:tc>
          <w:tcPr>
            <w:tcW w:w="6297" w:type="dxa"/>
            <w:tcBorders>
              <w:top w:val="single" w:color="auto" w:sz="4" w:space="0"/>
              <w:left w:val="nil"/>
              <w:bottom w:val="single" w:color="auto" w:sz="4" w:space="0"/>
              <w:right w:val="single" w:color="auto" w:sz="4" w:space="0"/>
              <w:tl2br w:val="nil"/>
              <w:tr2bl w:val="nil"/>
            </w:tcBorders>
            <w:vAlign w:val="center"/>
          </w:tcPr>
          <w:p w14:paraId="71CF8415">
            <w:pPr>
              <w:snapToGrid w:val="0"/>
              <w:ind w:firstLine="0" w:firstLineChars="0"/>
              <w:rPr>
                <w:rFonts w:ascii="宋体" w:cs="Times New Roman"/>
                <w:color w:val="auto"/>
                <w:sz w:val="20"/>
              </w:rPr>
            </w:pPr>
            <w:r>
              <w:rPr>
                <w:rFonts w:hint="eastAsia" w:ascii="宋体" w:cs="Times New Roman"/>
                <w:color w:val="auto"/>
                <w:sz w:val="20"/>
              </w:rPr>
              <w:t>应用系统应充分考虑到因系统故障、参数异常、上下游系统故障、账号状态异常等因素引起的业务失败场景，设计合理的应对措施，提高系统的可用性。</w:t>
            </w:r>
          </w:p>
        </w:tc>
      </w:tr>
      <w:tr w14:paraId="372B29ED">
        <w:tblPrEx>
          <w:tblCellMar>
            <w:top w:w="0" w:type="dxa"/>
            <w:left w:w="108" w:type="dxa"/>
            <w:bottom w:w="0" w:type="dxa"/>
            <w:right w:w="108" w:type="dxa"/>
          </w:tblCellMar>
        </w:tblPrEx>
        <w:trPr>
          <w:trHeight w:val="1290" w:hRule="atLeast"/>
        </w:trPr>
        <w:tc>
          <w:tcPr>
            <w:tcW w:w="1157" w:type="dxa"/>
            <w:vMerge w:val="continue"/>
            <w:tcBorders>
              <w:top w:val="nil"/>
              <w:left w:val="single" w:color="auto" w:sz="4" w:space="0"/>
              <w:bottom w:val="single" w:color="auto" w:sz="4" w:space="0"/>
              <w:right w:val="single" w:color="auto" w:sz="4" w:space="0"/>
              <w:tl2br w:val="nil"/>
              <w:tr2bl w:val="nil"/>
            </w:tcBorders>
            <w:vAlign w:val="center"/>
          </w:tcPr>
          <w:p w14:paraId="5F7B0E43">
            <w:pPr>
              <w:ind w:firstLine="420"/>
              <w:rPr>
                <w:color w:val="auto"/>
              </w:rPr>
            </w:pPr>
          </w:p>
        </w:tc>
        <w:tc>
          <w:tcPr>
            <w:tcW w:w="836" w:type="dxa"/>
            <w:tcBorders>
              <w:top w:val="single" w:color="auto" w:sz="4" w:space="0"/>
              <w:left w:val="nil"/>
              <w:bottom w:val="single" w:color="auto" w:sz="4" w:space="0"/>
              <w:right w:val="single" w:color="auto" w:sz="4" w:space="0"/>
              <w:tl2br w:val="nil"/>
              <w:tr2bl w:val="nil"/>
            </w:tcBorders>
            <w:shd w:val="clear" w:color="auto" w:fill="FFFFFF"/>
            <w:vAlign w:val="center"/>
          </w:tcPr>
          <w:p w14:paraId="0EDF1395">
            <w:pPr>
              <w:snapToGrid w:val="0"/>
              <w:ind w:firstLine="0" w:firstLineChars="0"/>
              <w:rPr>
                <w:rFonts w:ascii="宋体" w:cs="Times New Roman"/>
                <w:color w:val="auto"/>
                <w:sz w:val="20"/>
              </w:rPr>
            </w:pPr>
            <w:r>
              <w:rPr>
                <w:rFonts w:hint="eastAsia" w:ascii="宋体" w:cs="Times New Roman"/>
                <w:color w:val="auto"/>
                <w:sz w:val="20"/>
              </w:rPr>
              <w:t>统一错误处理</w:t>
            </w:r>
          </w:p>
        </w:tc>
        <w:tc>
          <w:tcPr>
            <w:tcW w:w="6297" w:type="dxa"/>
            <w:tcBorders>
              <w:top w:val="single" w:color="auto" w:sz="4" w:space="0"/>
              <w:left w:val="nil"/>
              <w:bottom w:val="single" w:color="auto" w:sz="4" w:space="0"/>
              <w:right w:val="single" w:color="auto" w:sz="4" w:space="0"/>
              <w:tl2br w:val="nil"/>
              <w:tr2bl w:val="nil"/>
            </w:tcBorders>
            <w:vAlign w:val="center"/>
          </w:tcPr>
          <w:p w14:paraId="1EFEFC8B">
            <w:pPr>
              <w:snapToGrid w:val="0"/>
              <w:ind w:firstLine="0" w:firstLineChars="0"/>
              <w:rPr>
                <w:rFonts w:ascii="宋体" w:cs="Times New Roman"/>
                <w:color w:val="auto"/>
                <w:sz w:val="20"/>
              </w:rPr>
            </w:pPr>
            <w:r>
              <w:rPr>
                <w:rFonts w:hint="eastAsia" w:ascii="宋体" w:cs="Times New Roman"/>
                <w:color w:val="auto"/>
                <w:sz w:val="20"/>
              </w:rPr>
              <w:t>应用系统应有统一错误处理功能，有效屏蔽系统技术错误信息，不将系统产生的错误信息（如中间件信息、数据库信息）直接反馈给客户端，提升用户体验，防止信息泄露。</w:t>
            </w:r>
          </w:p>
        </w:tc>
      </w:tr>
      <w:tr w14:paraId="693F4B2C">
        <w:tblPrEx>
          <w:tblCellMar>
            <w:top w:w="0" w:type="dxa"/>
            <w:left w:w="108" w:type="dxa"/>
            <w:bottom w:w="0" w:type="dxa"/>
            <w:right w:w="108" w:type="dxa"/>
          </w:tblCellMar>
        </w:tblPrEx>
        <w:trPr>
          <w:trHeight w:val="2400" w:hRule="atLeast"/>
        </w:trPr>
        <w:tc>
          <w:tcPr>
            <w:tcW w:w="1157" w:type="dxa"/>
            <w:tcBorders>
              <w:top w:val="single" w:color="auto" w:sz="4" w:space="0"/>
              <w:left w:val="single" w:color="auto" w:sz="4" w:space="0"/>
              <w:bottom w:val="single" w:color="auto" w:sz="4" w:space="0"/>
              <w:right w:val="single" w:color="auto" w:sz="4" w:space="0"/>
              <w:tl2br w:val="nil"/>
              <w:tr2bl w:val="nil"/>
            </w:tcBorders>
            <w:vAlign w:val="center"/>
          </w:tcPr>
          <w:p w14:paraId="0DF4433D">
            <w:pPr>
              <w:snapToGrid w:val="0"/>
              <w:ind w:firstLine="0" w:firstLineChars="0"/>
              <w:rPr>
                <w:rFonts w:ascii="宋体" w:cs="Times New Roman"/>
                <w:color w:val="auto"/>
                <w:sz w:val="20"/>
              </w:rPr>
            </w:pPr>
            <w:r>
              <w:rPr>
                <w:rFonts w:hint="eastAsia" w:ascii="宋体" w:cs="Times New Roman"/>
                <w:color w:val="auto"/>
                <w:sz w:val="20"/>
              </w:rPr>
              <w:t>框架安全</w:t>
            </w:r>
          </w:p>
        </w:tc>
        <w:tc>
          <w:tcPr>
            <w:tcW w:w="836" w:type="dxa"/>
            <w:tcBorders>
              <w:top w:val="single" w:color="auto" w:sz="4" w:space="0"/>
              <w:left w:val="nil"/>
              <w:bottom w:val="single" w:color="auto" w:sz="4" w:space="0"/>
              <w:right w:val="single" w:color="auto" w:sz="4" w:space="0"/>
              <w:tl2br w:val="nil"/>
              <w:tr2bl w:val="nil"/>
            </w:tcBorders>
            <w:vAlign w:val="center"/>
          </w:tcPr>
          <w:p w14:paraId="6EC44257">
            <w:pPr>
              <w:snapToGrid w:val="0"/>
              <w:ind w:firstLine="0" w:firstLineChars="0"/>
              <w:rPr>
                <w:rFonts w:ascii="宋体" w:cs="Times New Roman"/>
                <w:color w:val="auto"/>
                <w:sz w:val="20"/>
              </w:rPr>
            </w:pPr>
            <w:r>
              <w:rPr>
                <w:rFonts w:hint="eastAsia" w:ascii="宋体" w:cs="Times New Roman"/>
                <w:color w:val="auto"/>
                <w:sz w:val="20"/>
              </w:rPr>
              <w:t>第三方组件或框架</w:t>
            </w:r>
          </w:p>
        </w:tc>
        <w:tc>
          <w:tcPr>
            <w:tcW w:w="6297" w:type="dxa"/>
            <w:tcBorders>
              <w:top w:val="single" w:color="auto" w:sz="4" w:space="0"/>
              <w:left w:val="nil"/>
              <w:bottom w:val="single" w:color="auto" w:sz="4" w:space="0"/>
              <w:right w:val="single" w:color="auto" w:sz="4" w:space="0"/>
              <w:tl2br w:val="nil"/>
              <w:tr2bl w:val="nil"/>
            </w:tcBorders>
            <w:vAlign w:val="center"/>
          </w:tcPr>
          <w:p w14:paraId="7A31F2DF">
            <w:pPr>
              <w:snapToGrid w:val="0"/>
              <w:ind w:firstLine="0" w:firstLineChars="0"/>
              <w:rPr>
                <w:rFonts w:ascii="宋体" w:cs="Times New Roman"/>
                <w:color w:val="auto"/>
                <w:sz w:val="20"/>
              </w:rPr>
            </w:pPr>
            <w:r>
              <w:rPr>
                <w:rFonts w:hint="eastAsia" w:ascii="宋体" w:cs="Times New Roman"/>
                <w:color w:val="auto"/>
                <w:sz w:val="20"/>
              </w:rPr>
              <w:t>组件和中间件是导致漏洞的重要原因，使用时需遵守如下要求：</w:t>
            </w:r>
            <w:r>
              <w:rPr>
                <w:rFonts w:hint="eastAsia" w:ascii="宋体" w:cs="Times New Roman"/>
                <w:color w:val="auto"/>
                <w:sz w:val="20"/>
              </w:rPr>
              <w:br w:type="textWrapping"/>
            </w:r>
            <w:r>
              <w:rPr>
                <w:rFonts w:hint="eastAsia" w:ascii="宋体" w:cs="Times New Roman"/>
                <w:color w:val="auto"/>
                <w:sz w:val="20"/>
              </w:rPr>
              <w:t>1.使用的版本需是官方正常维护的版本，如不是最新版本，需更新安全补丁或升级；</w:t>
            </w:r>
            <w:r>
              <w:rPr>
                <w:rFonts w:hint="eastAsia" w:ascii="宋体" w:cs="Times New Roman"/>
                <w:color w:val="auto"/>
                <w:sz w:val="20"/>
              </w:rPr>
              <w:br w:type="textWrapping"/>
            </w:r>
            <w:r>
              <w:rPr>
                <w:rFonts w:hint="eastAsia" w:ascii="宋体" w:cs="Times New Roman"/>
                <w:color w:val="auto"/>
                <w:sz w:val="20"/>
              </w:rPr>
              <w:t>2.对使用的组件进行安全的身份认证或限制源IP访问，避免造成未授权访问漏洞，如mongoDB、redis、Memcached、CouchDB、JBOSS、VNC、Zookeeper、Rsync、ElasticSearch、Hadoop、Kibana、Confluence、Jenkins、spring boot、Druid、Swagger、Solr、Zabbix等；</w:t>
            </w:r>
            <w:r>
              <w:rPr>
                <w:rFonts w:hint="eastAsia" w:ascii="宋体" w:cs="Times New Roman"/>
                <w:color w:val="auto"/>
                <w:sz w:val="20"/>
              </w:rPr>
              <w:br w:type="textWrapping"/>
            </w:r>
            <w:r>
              <w:rPr>
                <w:rFonts w:hint="eastAsia" w:ascii="宋体" w:cs="Times New Roman"/>
                <w:color w:val="auto"/>
                <w:sz w:val="20"/>
              </w:rPr>
              <w:t>3.登录各组件的默认口令需进行修改，修改要求参照口令安全策略，如JBOSS、Tomcat、ActiveMQ、Weblogic、Nacos等；</w:t>
            </w:r>
          </w:p>
        </w:tc>
      </w:tr>
    </w:tbl>
    <w:p w14:paraId="3C33C20F">
      <w:pPr>
        <w:pStyle w:val="4"/>
        <w:ind w:firstLine="422"/>
        <w:rPr>
          <w:color w:val="auto"/>
        </w:rPr>
      </w:pPr>
      <w:r>
        <w:rPr>
          <w:rFonts w:hint="eastAsia"/>
          <w:color w:val="auto"/>
        </w:rPr>
        <w:t>2</w:t>
      </w:r>
      <w:r>
        <w:rPr>
          <w:color w:val="auto"/>
        </w:rPr>
        <w:t xml:space="preserve">.6 </w:t>
      </w:r>
      <w:r>
        <w:rPr>
          <w:rFonts w:hint="eastAsia"/>
          <w:color w:val="auto"/>
        </w:rPr>
        <w:t>可扩展性需求</w:t>
      </w:r>
    </w:p>
    <w:p w14:paraId="28A88295">
      <w:pPr>
        <w:ind w:firstLine="420"/>
        <w:rPr>
          <w:color w:val="auto"/>
        </w:rPr>
      </w:pPr>
      <w:r>
        <w:rPr>
          <w:rFonts w:hint="eastAsia"/>
          <w:color w:val="auto"/>
        </w:rPr>
        <w:t>1）系统要求支持主流操作系统、数据库和通讯中间件，对软、硬件平台具有良好的可扩展能力，支持跨平台客制化开发；</w:t>
      </w:r>
    </w:p>
    <w:p w14:paraId="63A64C64">
      <w:pPr>
        <w:ind w:firstLine="420"/>
        <w:rPr>
          <w:color w:val="auto"/>
        </w:rPr>
      </w:pPr>
      <w:r>
        <w:rPr>
          <w:rFonts w:hint="eastAsia"/>
          <w:color w:val="auto"/>
        </w:rPr>
        <w:t>2）支持交易数据导入、模型参数维护、计量、会计核算、报表模块对于新产品的支持，系统容易改进、扩展和升级；</w:t>
      </w:r>
    </w:p>
    <w:p w14:paraId="7DCD965B">
      <w:pPr>
        <w:ind w:firstLine="420"/>
        <w:rPr>
          <w:color w:val="auto"/>
        </w:rPr>
      </w:pPr>
      <w:r>
        <w:rPr>
          <w:rFonts w:hint="eastAsia"/>
          <w:color w:val="auto"/>
        </w:rPr>
        <w:t>3）提供的平台能够很好的实现业务功能扩展的灵活性，通过后台服务器对业务功能的模块化处理和可配置处理实现对功能的一站式更新，且不影响原有系统的正常运行；</w:t>
      </w:r>
    </w:p>
    <w:p w14:paraId="530E0ED4">
      <w:pPr>
        <w:ind w:firstLine="420"/>
        <w:rPr>
          <w:color w:val="auto"/>
        </w:rPr>
      </w:pPr>
      <w:r>
        <w:rPr>
          <w:rFonts w:hint="eastAsia"/>
          <w:color w:val="auto"/>
        </w:rPr>
        <w:t>4）系统的计算能力支持横向扩展；</w:t>
      </w:r>
    </w:p>
    <w:p w14:paraId="5D5BB8E6">
      <w:pPr>
        <w:ind w:firstLine="420"/>
        <w:rPr>
          <w:color w:val="auto"/>
        </w:rPr>
      </w:pPr>
      <w:r>
        <w:rPr>
          <w:rFonts w:hint="eastAsia"/>
          <w:color w:val="auto"/>
        </w:rPr>
        <w:t>5）对第三方平台提供良好的接口支持和扩展能力。</w:t>
      </w:r>
    </w:p>
    <w:p w14:paraId="22D14040">
      <w:pPr>
        <w:pStyle w:val="4"/>
        <w:ind w:firstLine="422"/>
        <w:rPr>
          <w:color w:val="auto"/>
        </w:rPr>
      </w:pPr>
      <w:r>
        <w:rPr>
          <w:rFonts w:hint="eastAsia"/>
          <w:color w:val="auto"/>
        </w:rPr>
        <w:t>2</w:t>
      </w:r>
      <w:r>
        <w:rPr>
          <w:color w:val="auto"/>
        </w:rPr>
        <w:t xml:space="preserve">.7 </w:t>
      </w:r>
      <w:r>
        <w:rPr>
          <w:rFonts w:hint="eastAsia"/>
          <w:color w:val="auto"/>
        </w:rPr>
        <w:t>二次开发要求</w:t>
      </w:r>
    </w:p>
    <w:p w14:paraId="509A91EB">
      <w:pPr>
        <w:ind w:firstLine="420"/>
        <w:rPr>
          <w:color w:val="auto"/>
        </w:rPr>
      </w:pPr>
      <w:r>
        <w:rPr>
          <w:rFonts w:hint="eastAsia"/>
          <w:color w:val="auto"/>
        </w:rPr>
        <w:t>为满足采购人业务发展需要，系统应能灵活、方便、快捷地支持个性化需求开发，相关要求包括：</w:t>
      </w:r>
    </w:p>
    <w:p w14:paraId="54DCC6D3">
      <w:pPr>
        <w:ind w:firstLine="420"/>
        <w:rPr>
          <w:color w:val="auto"/>
        </w:rPr>
      </w:pPr>
      <w:r>
        <w:rPr>
          <w:rFonts w:hint="eastAsia"/>
          <w:color w:val="auto"/>
        </w:rPr>
        <w:t>1）支持模型参数的个性化调整，从而适应监管要求及行内业务需求的变化；</w:t>
      </w:r>
    </w:p>
    <w:p w14:paraId="34C4806B">
      <w:pPr>
        <w:ind w:firstLine="420"/>
        <w:rPr>
          <w:color w:val="auto"/>
        </w:rPr>
      </w:pPr>
      <w:r>
        <w:rPr>
          <w:rFonts w:hint="eastAsia"/>
          <w:color w:val="auto"/>
        </w:rPr>
        <w:t>2）支持数据采集范围扩展及接口快速开发；</w:t>
      </w:r>
    </w:p>
    <w:p w14:paraId="717F54B2">
      <w:pPr>
        <w:ind w:firstLine="420"/>
        <w:rPr>
          <w:color w:val="auto"/>
        </w:rPr>
      </w:pPr>
      <w:r>
        <w:rPr>
          <w:rFonts w:hint="eastAsia"/>
          <w:color w:val="auto"/>
        </w:rPr>
        <w:t>3）支持较为便捷的全量/增量程序版本抽取和提交；</w:t>
      </w:r>
    </w:p>
    <w:p w14:paraId="3CE129F9">
      <w:pPr>
        <w:ind w:firstLine="420"/>
        <w:rPr>
          <w:color w:val="auto"/>
        </w:rPr>
      </w:pPr>
      <w:r>
        <w:rPr>
          <w:rFonts w:hint="eastAsia"/>
          <w:color w:val="auto"/>
        </w:rPr>
        <w:t>4）支持日常需求改造涉及的其他开发要求。</w:t>
      </w:r>
    </w:p>
    <w:p w14:paraId="2514124C">
      <w:pPr>
        <w:pStyle w:val="4"/>
        <w:ind w:firstLine="422"/>
        <w:rPr>
          <w:color w:val="auto"/>
        </w:rPr>
      </w:pPr>
      <w:r>
        <w:rPr>
          <w:rFonts w:hint="eastAsia"/>
          <w:color w:val="auto"/>
        </w:rPr>
        <w:t>2</w:t>
      </w:r>
      <w:r>
        <w:rPr>
          <w:color w:val="auto"/>
        </w:rPr>
        <w:t xml:space="preserve">.8 </w:t>
      </w:r>
      <w:r>
        <w:rPr>
          <w:rFonts w:hint="eastAsia"/>
          <w:color w:val="auto"/>
        </w:rPr>
        <w:t>其它非功能性要求</w:t>
      </w:r>
    </w:p>
    <w:p w14:paraId="0E0EA31D">
      <w:pPr>
        <w:ind w:firstLine="420"/>
        <w:rPr>
          <w:color w:val="auto"/>
        </w:rPr>
      </w:pPr>
      <w:r>
        <w:rPr>
          <w:color w:val="auto"/>
        </w:rPr>
        <w:t>2.8.</w:t>
      </w:r>
      <w:r>
        <w:rPr>
          <w:rFonts w:hint="eastAsia"/>
          <w:color w:val="auto"/>
        </w:rPr>
        <w:t>1 运维要求</w:t>
      </w:r>
    </w:p>
    <w:p w14:paraId="6294372C">
      <w:pPr>
        <w:ind w:firstLine="420"/>
        <w:rPr>
          <w:color w:val="auto"/>
        </w:rPr>
      </w:pPr>
      <w:r>
        <w:rPr>
          <w:rFonts w:hint="eastAsia"/>
          <w:color w:val="auto"/>
        </w:rPr>
        <w:t>1）提供日常运行监控和完整的系统维护管理的方案：提供日志、实时交易监控等系统问题定位方案；提供日志和历史数据备份、清理机制；</w:t>
      </w:r>
    </w:p>
    <w:p w14:paraId="6B157031">
      <w:pPr>
        <w:ind w:firstLine="420"/>
        <w:rPr>
          <w:color w:val="auto"/>
        </w:rPr>
      </w:pPr>
      <w:r>
        <w:rPr>
          <w:rFonts w:hint="eastAsia"/>
          <w:color w:val="auto"/>
        </w:rPr>
        <w:t>2）系统日志需接入采购人智能运维平台，满足《重庆三峡银行应用日志规范》中的要求；</w:t>
      </w:r>
    </w:p>
    <w:p w14:paraId="307E0681">
      <w:pPr>
        <w:ind w:firstLine="420"/>
        <w:rPr>
          <w:color w:val="auto"/>
        </w:rPr>
      </w:pPr>
      <w:r>
        <w:rPr>
          <w:rFonts w:hint="eastAsia"/>
          <w:color w:val="auto"/>
        </w:rPr>
        <w:t>3）提供应用系统之间逻辑独立、启停服务时系统间不相互影响的部署方案（十分重要），保障系统的7*24小时运行；</w:t>
      </w:r>
    </w:p>
    <w:p w14:paraId="6DCC62B2">
      <w:pPr>
        <w:ind w:firstLine="420"/>
        <w:rPr>
          <w:color w:val="auto"/>
        </w:rPr>
      </w:pPr>
      <w:r>
        <w:rPr>
          <w:rFonts w:hint="eastAsia"/>
          <w:color w:val="auto"/>
        </w:rPr>
        <w:t>4）提供系统资源运行情况实时监控报告；提供系统出现异常预警报告；提供系统运行情况报表等；</w:t>
      </w:r>
    </w:p>
    <w:p w14:paraId="54F32CB7">
      <w:pPr>
        <w:ind w:firstLine="420"/>
        <w:rPr>
          <w:color w:val="auto"/>
        </w:rPr>
      </w:pPr>
      <w:r>
        <w:rPr>
          <w:color w:val="auto"/>
        </w:rPr>
        <w:t>5</w:t>
      </w:r>
      <w:r>
        <w:rPr>
          <w:rFonts w:hint="eastAsia"/>
          <w:color w:val="auto"/>
        </w:rPr>
        <w:t>）涉及重大生产故障，需15分钟内响应，30分钟内提供临时解决方案并能恢复生产服务，并安排响应的技术专家进行技术支持。</w:t>
      </w:r>
    </w:p>
    <w:p w14:paraId="1007519C">
      <w:pPr>
        <w:ind w:firstLine="420"/>
        <w:rPr>
          <w:color w:val="auto"/>
        </w:rPr>
      </w:pPr>
      <w:r>
        <w:rPr>
          <w:rFonts w:hint="eastAsia"/>
          <w:color w:val="auto"/>
        </w:rPr>
        <w:t>6）对接采购人监控运维体系，满足监控体系各项要求。</w:t>
      </w:r>
    </w:p>
    <w:p w14:paraId="03D27B15">
      <w:pPr>
        <w:ind w:firstLine="420"/>
        <w:rPr>
          <w:color w:val="auto"/>
        </w:rPr>
      </w:pPr>
      <w:r>
        <w:rPr>
          <w:color w:val="auto"/>
        </w:rPr>
        <w:t>2.8.</w:t>
      </w:r>
      <w:r>
        <w:rPr>
          <w:rFonts w:hint="eastAsia"/>
          <w:color w:val="auto"/>
        </w:rPr>
        <w:t>2 日志要求</w:t>
      </w:r>
    </w:p>
    <w:p w14:paraId="3CC88AF4">
      <w:pPr>
        <w:ind w:firstLine="420"/>
        <w:rPr>
          <w:color w:val="auto"/>
        </w:rPr>
      </w:pPr>
      <w:r>
        <w:rPr>
          <w:rFonts w:hint="eastAsia"/>
          <w:color w:val="auto"/>
        </w:rPr>
        <w:t>1）应完整记录所有通讯日志，如果通讯日志为字节码的，不能直接查看的，应提供查看工具；</w:t>
      </w:r>
    </w:p>
    <w:p w14:paraId="74878090">
      <w:pPr>
        <w:ind w:firstLine="420"/>
        <w:rPr>
          <w:color w:val="auto"/>
        </w:rPr>
      </w:pPr>
      <w:r>
        <w:rPr>
          <w:rFonts w:hint="eastAsia"/>
          <w:color w:val="auto"/>
        </w:rPr>
        <w:t>2）应完整记录交易日志，方便交易统计分析，不同类型的交易可分不同的交易日志表；</w:t>
      </w:r>
    </w:p>
    <w:p w14:paraId="0D5C10EC">
      <w:pPr>
        <w:ind w:firstLine="420"/>
        <w:rPr>
          <w:color w:val="auto"/>
        </w:rPr>
      </w:pPr>
      <w:r>
        <w:rPr>
          <w:rFonts w:hint="eastAsia"/>
          <w:color w:val="auto"/>
        </w:rPr>
        <w:t>3）可在线动态调整日志级别，在生产环境下定位问题时不需要中断服务；</w:t>
      </w:r>
    </w:p>
    <w:p w14:paraId="2001E3E9">
      <w:pPr>
        <w:ind w:firstLine="420"/>
        <w:rPr>
          <w:color w:val="auto"/>
        </w:rPr>
      </w:pPr>
      <w:r>
        <w:rPr>
          <w:rFonts w:hint="eastAsia"/>
          <w:color w:val="auto"/>
        </w:rPr>
        <w:t>4）系统相关日志应输出在应用目录之外；</w:t>
      </w:r>
    </w:p>
    <w:p w14:paraId="039121A3">
      <w:pPr>
        <w:ind w:firstLine="420"/>
        <w:rPr>
          <w:color w:val="auto"/>
        </w:rPr>
      </w:pPr>
      <w:r>
        <w:rPr>
          <w:rFonts w:hint="eastAsia"/>
          <w:color w:val="auto"/>
        </w:rPr>
        <w:t>5）不应在日志中记录客户支付敏感信息；不允许保留非本机构的客户敏感信息。</w:t>
      </w:r>
    </w:p>
    <w:p w14:paraId="71C42255">
      <w:pPr>
        <w:ind w:firstLine="420"/>
        <w:rPr>
          <w:color w:val="auto"/>
        </w:rPr>
      </w:pPr>
      <w:r>
        <w:rPr>
          <w:color w:val="auto"/>
        </w:rPr>
        <w:t>2.8.</w:t>
      </w:r>
      <w:r>
        <w:rPr>
          <w:rFonts w:hint="eastAsia"/>
          <w:color w:val="auto"/>
        </w:rPr>
        <w:t>3 自动监控指标</w:t>
      </w:r>
    </w:p>
    <w:p w14:paraId="0C6618F5">
      <w:pPr>
        <w:ind w:firstLine="420"/>
        <w:rPr>
          <w:color w:val="auto"/>
        </w:rPr>
      </w:pPr>
      <w:r>
        <w:rPr>
          <w:rFonts w:hint="eastAsia"/>
          <w:color w:val="auto"/>
        </w:rPr>
        <w:t>1）磁盘占用率（关键目录）、CPU使用率、内存占用率等；</w:t>
      </w:r>
    </w:p>
    <w:p w14:paraId="43D82F11">
      <w:pPr>
        <w:ind w:firstLine="420"/>
        <w:rPr>
          <w:color w:val="auto"/>
        </w:rPr>
      </w:pPr>
      <w:r>
        <w:rPr>
          <w:rFonts w:hint="eastAsia"/>
          <w:color w:val="auto"/>
        </w:rPr>
        <w:t>2）数据库连接池使用情况：总连接数、空闲连接数、使用中连接数；线程池使用情况：总线程、空闲线程、使用中线程；</w:t>
      </w:r>
    </w:p>
    <w:p w14:paraId="579284A1">
      <w:pPr>
        <w:ind w:firstLine="420"/>
        <w:rPr>
          <w:color w:val="auto"/>
        </w:rPr>
      </w:pPr>
      <w:r>
        <w:rPr>
          <w:rFonts w:hint="eastAsia"/>
          <w:color w:val="auto"/>
        </w:rPr>
        <w:t>3）虚拟机堆内存情况（适用Java）：空闲内存、使用中内存；</w:t>
      </w:r>
    </w:p>
    <w:p w14:paraId="2AF6EC15">
      <w:pPr>
        <w:ind w:firstLine="420"/>
        <w:rPr>
          <w:color w:val="auto"/>
        </w:rPr>
      </w:pPr>
      <w:r>
        <w:rPr>
          <w:rFonts w:hint="eastAsia"/>
          <w:color w:val="auto"/>
        </w:rPr>
        <w:t>4）交易级的错误，应用系统重大错误。</w:t>
      </w:r>
    </w:p>
    <w:p w14:paraId="5DCBA211">
      <w:pPr>
        <w:pStyle w:val="4"/>
        <w:ind w:firstLine="422"/>
        <w:rPr>
          <w:color w:val="auto"/>
        </w:rPr>
      </w:pPr>
      <w:r>
        <w:rPr>
          <w:rFonts w:hint="eastAsia"/>
          <w:color w:val="auto"/>
        </w:rPr>
        <w:t>2</w:t>
      </w:r>
      <w:r>
        <w:rPr>
          <w:color w:val="auto"/>
        </w:rPr>
        <w:t xml:space="preserve">.9 </w:t>
      </w:r>
      <w:r>
        <w:rPr>
          <w:rFonts w:hint="eastAsia"/>
          <w:color w:val="auto"/>
        </w:rPr>
        <w:t>应当遵循的标准和规范</w:t>
      </w:r>
    </w:p>
    <w:p w14:paraId="6815481B">
      <w:pPr>
        <w:ind w:firstLine="420"/>
        <w:rPr>
          <w:color w:val="auto"/>
        </w:rPr>
      </w:pPr>
      <w:r>
        <w:rPr>
          <w:rFonts w:hint="eastAsia"/>
          <w:color w:val="auto"/>
        </w:rPr>
        <w:t>应用应实现与行内各种操作系统、中间件、数据库、业务系统及工具软件进行平滑对接。系统的底层应支持各个层次的多种协议，支持与业务系统的互通、互联，应用系统采用标准的数据交换方式，保证数据共享。</w:t>
      </w:r>
    </w:p>
    <w:p w14:paraId="137C1D29">
      <w:pPr>
        <w:ind w:firstLine="420"/>
        <w:rPr>
          <w:color w:val="auto"/>
        </w:rPr>
      </w:pPr>
      <w:r>
        <w:rPr>
          <w:rFonts w:hint="eastAsia"/>
          <w:color w:val="auto"/>
        </w:rPr>
        <w:t>系统架构必须遵循</w:t>
      </w:r>
      <w:r>
        <w:rPr>
          <w:color w:val="auto"/>
        </w:rPr>
        <w:t>采购</w:t>
      </w:r>
      <w:r>
        <w:rPr>
          <w:rFonts w:hint="eastAsia"/>
          <w:color w:val="auto"/>
        </w:rPr>
        <w:t>人应用架构统一架构规范；对外交互界面（含接口、交互流程）均需遵照</w:t>
      </w:r>
      <w:r>
        <w:rPr>
          <w:color w:val="auto"/>
        </w:rPr>
        <w:t>采购</w:t>
      </w:r>
      <w:r>
        <w:rPr>
          <w:rFonts w:hint="eastAsia"/>
          <w:color w:val="auto"/>
        </w:rPr>
        <w:t>人确定统一规范进行设计和开发，接口交互均需要通过分布式应用服务管理平台（以下简称“ESC”），数据文件交互优先使用 ESC 文件中心进行文件交互；同时开发过程的产出物（如：设计文档、代码、测试案例、测试报告等）也需完全遵照</w:t>
      </w:r>
      <w:r>
        <w:rPr>
          <w:color w:val="auto"/>
        </w:rPr>
        <w:t>采购</w:t>
      </w:r>
      <w:r>
        <w:rPr>
          <w:rFonts w:hint="eastAsia"/>
          <w:color w:val="auto"/>
        </w:rPr>
        <w:t>人确定的统一标准规范完成。</w:t>
      </w:r>
    </w:p>
    <w:p w14:paraId="1B777035">
      <w:pPr>
        <w:ind w:firstLine="420"/>
        <w:rPr>
          <w:color w:val="auto"/>
        </w:rPr>
      </w:pPr>
      <w:r>
        <w:rPr>
          <w:rFonts w:hint="eastAsia"/>
          <w:color w:val="auto"/>
        </w:rPr>
        <w:t>数据落标、数据治理。一是统一机构编码、人员信息，提升数据规范性；二是完善事件类数据的管理，解决统计报送痛点；规范码值体系；三是建立规范高效的数据同步机制；四是数据库设计应遵循一致性、完整性、规范化、安全性、可伸缩性与可扩展性原则，对数据来源进行统一、系统的分析与设计，协调好各种数据源，保证数据的一致性、完整性，数据库结构的设计应充分考虑后期发展和数据移植的需要；五是数据表设计原则上应满足每张表都应该有主键，一旦生成之后不允许复用和更改主键，以便于下游系统复用抽取、加工数据。</w:t>
      </w:r>
    </w:p>
    <w:p w14:paraId="50187194">
      <w:pPr>
        <w:ind w:firstLine="420"/>
        <w:rPr>
          <w:color w:val="auto"/>
        </w:rPr>
      </w:pPr>
      <w:r>
        <w:rPr>
          <w:rFonts w:hint="eastAsia"/>
          <w:color w:val="auto"/>
        </w:rPr>
        <w:t>业务处理符合国家法律、法规和有关政策规定。数据标准要满足银监会及人民银行相关管理办法及标准化的要求。</w:t>
      </w:r>
    </w:p>
    <w:p w14:paraId="54CA09D0">
      <w:pPr>
        <w:pStyle w:val="4"/>
        <w:ind w:firstLine="422"/>
        <w:rPr>
          <w:color w:val="auto"/>
        </w:rPr>
      </w:pPr>
      <w:r>
        <w:rPr>
          <w:rFonts w:hint="eastAsia"/>
          <w:color w:val="auto"/>
        </w:rPr>
        <w:t>2</w:t>
      </w:r>
      <w:r>
        <w:rPr>
          <w:color w:val="auto"/>
        </w:rPr>
        <w:t xml:space="preserve">.10 </w:t>
      </w:r>
      <w:r>
        <w:rPr>
          <w:rFonts w:hint="eastAsia"/>
          <w:color w:val="auto"/>
        </w:rPr>
        <w:t>其他技术要求</w:t>
      </w:r>
    </w:p>
    <w:p w14:paraId="65E7629A">
      <w:pPr>
        <w:ind w:firstLine="420"/>
        <w:rPr>
          <w:color w:val="auto"/>
        </w:rPr>
      </w:pPr>
      <w:r>
        <w:rPr>
          <w:rFonts w:hint="eastAsia"/>
          <w:color w:val="auto"/>
        </w:rPr>
        <w:t>1）使用Java语言开发的系统须支持JDK17.0及以上版本。</w:t>
      </w:r>
    </w:p>
    <w:p w14:paraId="78BE9950">
      <w:pPr>
        <w:ind w:firstLine="420"/>
        <w:rPr>
          <w:color w:val="auto"/>
        </w:rPr>
      </w:pPr>
      <w:r>
        <w:rPr>
          <w:rFonts w:hint="eastAsia"/>
          <w:color w:val="auto"/>
        </w:rPr>
        <w:t>2）操作系统、数据库和中间件满足以下要求：服务端操作系统支持Linux（Kylin v10 sp3及以上），</w:t>
      </w:r>
      <w:r>
        <w:rPr>
          <w:color w:val="auto"/>
        </w:rPr>
        <w:t>客户端操作系统支持鸿蒙HarmonyOS NEXT及以上版本</w:t>
      </w:r>
      <w:r>
        <w:rPr>
          <w:rFonts w:hint="eastAsia"/>
          <w:color w:val="auto"/>
        </w:rPr>
        <w:t>，数据库支持OceanBase 4.2及以上版本，Web中间件支持TongWeb 7.0及以上版本。</w:t>
      </w:r>
    </w:p>
    <w:p w14:paraId="430C9D6E">
      <w:pPr>
        <w:ind w:firstLine="420"/>
        <w:rPr>
          <w:color w:val="auto"/>
        </w:rPr>
      </w:pPr>
      <w:r>
        <w:rPr>
          <w:rFonts w:hint="eastAsia"/>
          <w:color w:val="auto"/>
        </w:rPr>
        <w:t>3）必须支持Windows全系操作系统，即WinXP/Win7/Win8/Win10，支持麒麟桌面操作系统</w:t>
      </w:r>
      <w:r>
        <w:rPr>
          <w:color w:val="auto"/>
        </w:rPr>
        <w:t>，支持鸿蒙操作系统</w:t>
      </w:r>
      <w:r>
        <w:rPr>
          <w:rFonts w:hint="eastAsia"/>
          <w:color w:val="auto"/>
        </w:rPr>
        <w:t>，支持谷歌、360、IE6及以上版本浏览器使用，支持统信、奇安信、360等国产浏览器使用。</w:t>
      </w:r>
    </w:p>
    <w:p w14:paraId="5600591B">
      <w:pPr>
        <w:ind w:firstLine="420"/>
        <w:rPr>
          <w:color w:val="auto"/>
        </w:rPr>
      </w:pPr>
      <w:r>
        <w:rPr>
          <w:color w:val="auto"/>
        </w:rPr>
        <w:t>4</w:t>
      </w:r>
      <w:r>
        <w:rPr>
          <w:rFonts w:hint="eastAsia"/>
          <w:color w:val="auto"/>
        </w:rPr>
        <w:t>）系统基础架构和底层数据库具备灵活性。</w:t>
      </w:r>
    </w:p>
    <w:p w14:paraId="666739F9">
      <w:pPr>
        <w:ind w:firstLine="420"/>
        <w:rPr>
          <w:color w:val="auto"/>
        </w:rPr>
      </w:pPr>
      <w:r>
        <w:rPr>
          <w:color w:val="auto"/>
        </w:rPr>
        <w:t>5</w:t>
      </w:r>
      <w:r>
        <w:rPr>
          <w:rFonts w:hint="eastAsia"/>
          <w:color w:val="auto"/>
        </w:rPr>
        <w:t>）系统可集群部署，支持负载均衡，具备横向可扩展性。</w:t>
      </w:r>
    </w:p>
    <w:p w14:paraId="2127E525">
      <w:pPr>
        <w:ind w:firstLine="420"/>
        <w:rPr>
          <w:color w:val="auto"/>
        </w:rPr>
      </w:pPr>
      <w:r>
        <w:rPr>
          <w:color w:val="auto"/>
        </w:rPr>
        <w:t>6</w:t>
      </w:r>
      <w:r>
        <w:rPr>
          <w:rFonts w:hint="eastAsia"/>
          <w:color w:val="auto"/>
        </w:rPr>
        <w:t>）系统处理能力能够满足现有业务数据以及未来三年可能发展的业务数据量。</w:t>
      </w:r>
    </w:p>
    <w:p w14:paraId="128E6E32">
      <w:pPr>
        <w:ind w:firstLine="420"/>
        <w:rPr>
          <w:color w:val="auto"/>
        </w:rPr>
      </w:pPr>
      <w:r>
        <w:rPr>
          <w:color w:val="auto"/>
        </w:rPr>
        <w:t>7</w:t>
      </w:r>
      <w:r>
        <w:rPr>
          <w:rFonts w:hint="eastAsia"/>
          <w:color w:val="auto"/>
        </w:rPr>
        <w:t>）系统开发需要符合采购人开发规范和整体框架要求。</w:t>
      </w:r>
    </w:p>
    <w:p w14:paraId="7D263F04">
      <w:pPr>
        <w:ind w:firstLine="420"/>
        <w:rPr>
          <w:color w:val="auto"/>
        </w:rPr>
      </w:pPr>
      <w:r>
        <w:rPr>
          <w:color w:val="auto"/>
        </w:rPr>
        <w:t>8</w:t>
      </w:r>
      <w:r>
        <w:rPr>
          <w:rFonts w:hint="eastAsia"/>
          <w:color w:val="auto"/>
        </w:rPr>
        <w:t>）系统需支持dns方式连接数据库以及应用。</w:t>
      </w:r>
    </w:p>
    <w:p w14:paraId="3F4C67E7">
      <w:pPr>
        <w:ind w:firstLine="420"/>
        <w:rPr>
          <w:color w:val="auto"/>
        </w:rPr>
      </w:pPr>
      <w:r>
        <w:rPr>
          <w:color w:val="auto"/>
        </w:rPr>
        <w:t>9</w:t>
      </w:r>
      <w:r>
        <w:rPr>
          <w:rFonts w:hint="eastAsia"/>
          <w:color w:val="auto"/>
        </w:rPr>
        <w:t>）原则上不对系统许可（license）做限制。</w:t>
      </w:r>
    </w:p>
    <w:p w14:paraId="713ACEAC">
      <w:pPr>
        <w:ind w:firstLine="420"/>
        <w:rPr>
          <w:color w:val="auto"/>
        </w:rPr>
      </w:pPr>
      <w:r>
        <w:rPr>
          <w:rFonts w:hint="eastAsia"/>
          <w:color w:val="auto"/>
        </w:rPr>
        <w:t>1</w:t>
      </w:r>
      <w:r>
        <w:rPr>
          <w:color w:val="auto"/>
        </w:rPr>
        <w:t>0</w:t>
      </w:r>
      <w:r>
        <w:rPr>
          <w:rFonts w:hint="eastAsia"/>
          <w:color w:val="auto"/>
        </w:rPr>
        <w:t>）响应人需提供完善的数据备份方案及备份机制。</w:t>
      </w:r>
    </w:p>
    <w:p w14:paraId="7817A0CE">
      <w:pPr>
        <w:ind w:firstLine="420"/>
        <w:rPr>
          <w:color w:val="auto"/>
        </w:rPr>
      </w:pPr>
      <w:r>
        <w:rPr>
          <w:rFonts w:hint="eastAsia"/>
          <w:color w:val="auto"/>
        </w:rPr>
        <w:t>1</w:t>
      </w:r>
      <w:r>
        <w:rPr>
          <w:color w:val="auto"/>
        </w:rPr>
        <w:t>1</w:t>
      </w:r>
      <w:r>
        <w:rPr>
          <w:rFonts w:hint="eastAsia"/>
          <w:color w:val="auto"/>
        </w:rPr>
        <w:t>）</w:t>
      </w:r>
      <w:r>
        <w:rPr>
          <w:color w:val="auto"/>
        </w:rPr>
        <w:t>技术RTO（恢复时间目标）：47小时；技术RPO（恢复时间点目标）：0.5小时</w:t>
      </w:r>
      <w:r>
        <w:rPr>
          <w:rFonts w:hint="eastAsia"/>
          <w:color w:val="auto"/>
        </w:rPr>
        <w:t>。</w:t>
      </w:r>
    </w:p>
    <w:p w14:paraId="3D80F6A6">
      <w:pPr>
        <w:ind w:firstLine="420"/>
        <w:rPr>
          <w:color w:val="auto"/>
        </w:rPr>
      </w:pPr>
      <w:r>
        <w:rPr>
          <w:rFonts w:hint="eastAsia"/>
          <w:color w:val="auto"/>
        </w:rPr>
        <w:t>1</w:t>
      </w:r>
      <w:r>
        <w:rPr>
          <w:color w:val="auto"/>
        </w:rPr>
        <w:t>2</w:t>
      </w:r>
      <w:r>
        <w:rPr>
          <w:rFonts w:hint="eastAsia"/>
          <w:color w:val="auto"/>
        </w:rPr>
        <w:t>）需支持IPV6协议。</w:t>
      </w:r>
    </w:p>
    <w:p w14:paraId="178302DE">
      <w:pPr>
        <w:ind w:firstLine="420"/>
        <w:rPr>
          <w:color w:val="auto"/>
        </w:rPr>
      </w:pPr>
      <w:r>
        <w:rPr>
          <w:rFonts w:hint="eastAsia"/>
          <w:color w:val="auto"/>
        </w:rPr>
        <w:t>1</w:t>
      </w:r>
      <w:r>
        <w:rPr>
          <w:color w:val="auto"/>
        </w:rPr>
        <w:t>3</w:t>
      </w:r>
      <w:r>
        <w:rPr>
          <w:rFonts w:hint="eastAsia"/>
          <w:color w:val="auto"/>
        </w:rPr>
        <w:t>）禁止应用软件部署使用的安装码或授权码与其运行的基础环境（如：硬盘序列号、CPU序列号或网卡序列号等）进行绑定。</w:t>
      </w:r>
    </w:p>
    <w:p w14:paraId="1811B9D8">
      <w:pPr>
        <w:ind w:firstLine="420"/>
        <w:rPr>
          <w:color w:val="auto"/>
        </w:rPr>
      </w:pPr>
      <w:r>
        <w:rPr>
          <w:rFonts w:hint="eastAsia"/>
          <w:color w:val="auto"/>
        </w:rPr>
        <w:t>1</w:t>
      </w:r>
      <w:r>
        <w:rPr>
          <w:color w:val="auto"/>
        </w:rPr>
        <w:t>4</w:t>
      </w:r>
      <w:r>
        <w:rPr>
          <w:rFonts w:hint="eastAsia"/>
          <w:color w:val="auto"/>
        </w:rPr>
        <w:t>）系统在集群部署共享文件访问时使用对象存储（不得使用NAS）。</w:t>
      </w:r>
    </w:p>
    <w:p w14:paraId="7B1359F9">
      <w:pPr>
        <w:ind w:firstLine="420"/>
        <w:rPr>
          <w:color w:val="auto"/>
        </w:rPr>
      </w:pPr>
      <w:r>
        <w:rPr>
          <w:rFonts w:hint="eastAsia"/>
          <w:color w:val="auto"/>
        </w:rPr>
        <w:t>1</w:t>
      </w:r>
      <w:r>
        <w:rPr>
          <w:color w:val="auto"/>
        </w:rPr>
        <w:t>5</w:t>
      </w:r>
      <w:r>
        <w:rPr>
          <w:rFonts w:hint="eastAsia"/>
          <w:color w:val="auto"/>
        </w:rPr>
        <w:t>）产品支持容器化方式交付，容器镜像满足信创适配要求，符合行业信创规范与行内安全管控要求，支持部署运行在行内统一 Kubernetes 容器平台。</w:t>
      </w:r>
    </w:p>
    <w:p w14:paraId="306FA2BD">
      <w:pPr>
        <w:ind w:firstLine="420"/>
        <w:rPr>
          <w:color w:val="auto"/>
        </w:rPr>
      </w:pPr>
      <w:r>
        <w:rPr>
          <w:rFonts w:hint="eastAsia"/>
          <w:color w:val="auto"/>
        </w:rPr>
        <w:t>16）满足国家保密标准及要求。</w:t>
      </w:r>
    </w:p>
    <w:p w14:paraId="45C2FB1C">
      <w:pPr>
        <w:ind w:firstLine="420"/>
        <w:rPr>
          <w:color w:val="auto"/>
        </w:rPr>
      </w:pPr>
      <w:r>
        <w:rPr>
          <w:rFonts w:hint="eastAsia"/>
          <w:color w:val="auto"/>
        </w:rPr>
        <w:t>17）系统应按照</w:t>
      </w:r>
      <w:r>
        <w:rPr>
          <w:color w:val="auto"/>
        </w:rPr>
        <w:t>采购人</w:t>
      </w:r>
      <w:r>
        <w:rPr>
          <w:rFonts w:hint="eastAsia"/>
          <w:color w:val="auto"/>
        </w:rPr>
        <w:t>研发运维标准完成</w:t>
      </w:r>
      <w:r>
        <w:rPr>
          <w:color w:val="auto"/>
        </w:rPr>
        <w:t>采购人</w:t>
      </w:r>
      <w:r>
        <w:rPr>
          <w:rFonts w:hint="eastAsia"/>
          <w:color w:val="auto"/>
        </w:rPr>
        <w:t>DevOps研发效能平台和AiOps智能运维平台的对接</w:t>
      </w:r>
      <w:r>
        <w:rPr>
          <w:color w:val="auto"/>
        </w:rPr>
        <w:t>，满足《重庆三峡银行配置文件管理规范》和《重庆三峡银行应用日志规范》</w:t>
      </w:r>
      <w:r>
        <w:rPr>
          <w:rFonts w:hint="eastAsia"/>
          <w:color w:val="auto"/>
        </w:rPr>
        <w:t>。</w:t>
      </w:r>
    </w:p>
    <w:p w14:paraId="642841D4">
      <w:pPr>
        <w:ind w:firstLine="420"/>
        <w:rPr>
          <w:color w:val="auto"/>
        </w:rPr>
      </w:pPr>
      <w:r>
        <w:rPr>
          <w:color w:val="auto"/>
        </w:rPr>
        <w:t>1</w:t>
      </w:r>
      <w:r>
        <w:rPr>
          <w:rFonts w:hint="eastAsia"/>
          <w:color w:val="auto"/>
        </w:rPr>
        <w:t>8</w:t>
      </w:r>
      <w:r>
        <w:rPr>
          <w:color w:val="auto"/>
        </w:rPr>
        <w:t>）在项目正式验收通过之前需同步免费进行任意版本的升级，在维保期内的产品需同步免费进行基础版本的升级。</w:t>
      </w:r>
    </w:p>
    <w:p w14:paraId="777247FD">
      <w:pPr>
        <w:ind w:firstLine="420"/>
        <w:rPr>
          <w:color w:val="auto"/>
        </w:rPr>
      </w:pPr>
      <w:r>
        <w:rPr>
          <w:color w:val="auto"/>
        </w:rPr>
        <w:t>1</w:t>
      </w:r>
      <w:r>
        <w:rPr>
          <w:rFonts w:hint="eastAsia"/>
          <w:color w:val="auto"/>
        </w:rPr>
        <w:t>9</w:t>
      </w:r>
      <w:r>
        <w:rPr>
          <w:color w:val="auto"/>
        </w:rPr>
        <w:t>）系统所使用技术满足监管或行内安全要求，并对不符合安全标准的内容进行维护。</w:t>
      </w:r>
    </w:p>
    <w:p w14:paraId="7640BD47">
      <w:pPr>
        <w:ind w:firstLine="420"/>
        <w:rPr>
          <w:color w:val="auto"/>
        </w:rPr>
      </w:pPr>
      <w:r>
        <w:rPr>
          <w:rFonts w:hint="eastAsia"/>
          <w:color w:val="auto"/>
        </w:rPr>
        <w:t>20</w:t>
      </w:r>
      <w:r>
        <w:rPr>
          <w:color w:val="auto"/>
        </w:rPr>
        <w:t>）系统须支持建立覆盖接入、交互、安全、集成的全站式技术标准体系，集中提供技术规范说明、API接口文档、开发指南等。</w:t>
      </w:r>
    </w:p>
    <w:p w14:paraId="2CAA3D1D">
      <w:pPr>
        <w:ind w:firstLine="420"/>
        <w:rPr>
          <w:color w:val="auto"/>
        </w:rPr>
      </w:pPr>
      <w:r>
        <w:rPr>
          <w:rFonts w:hint="eastAsia"/>
          <w:color w:val="auto"/>
        </w:rPr>
        <w:t>21）</w:t>
      </w:r>
      <w:r>
        <w:rPr>
          <w:color w:val="auto"/>
        </w:rPr>
        <w:t>系统须集成采购人零信任统一认证体系，实现多因素认证能力的全覆盖，支持数字证书、动态口令、生物识别（指纹、面部识别）等多种认证方式。</w:t>
      </w:r>
    </w:p>
    <w:p w14:paraId="19F73FCE">
      <w:pPr>
        <w:pStyle w:val="3"/>
        <w:rPr>
          <w:color w:val="auto"/>
        </w:rPr>
      </w:pPr>
      <w:r>
        <w:rPr>
          <w:color w:val="auto"/>
        </w:rPr>
        <w:t>3.</w:t>
      </w:r>
      <w:r>
        <w:rPr>
          <w:rFonts w:hint="eastAsia"/>
          <w:color w:val="auto"/>
        </w:rPr>
        <w:t>测试要求</w:t>
      </w:r>
    </w:p>
    <w:p w14:paraId="3D577324">
      <w:pPr>
        <w:ind w:firstLine="420"/>
        <w:rPr>
          <w:color w:val="auto"/>
        </w:rPr>
      </w:pPr>
      <w:r>
        <w:rPr>
          <w:color w:val="auto"/>
        </w:rPr>
        <w:t>1</w:t>
      </w:r>
      <w:r>
        <w:rPr>
          <w:rFonts w:hint="eastAsia"/>
          <w:color w:val="auto"/>
        </w:rPr>
        <w:t>）</w:t>
      </w:r>
      <w:r>
        <w:rPr>
          <w:color w:val="auto"/>
        </w:rPr>
        <w:t>响应人应负责系统的单元</w:t>
      </w:r>
      <w:r>
        <w:rPr>
          <w:rFonts w:hint="eastAsia"/>
          <w:color w:val="auto"/>
        </w:rPr>
        <w:t>、</w:t>
      </w:r>
      <w:r>
        <w:rPr>
          <w:color w:val="auto"/>
        </w:rPr>
        <w:t>集成</w:t>
      </w:r>
      <w:r>
        <w:rPr>
          <w:rFonts w:hint="eastAsia"/>
          <w:color w:val="auto"/>
        </w:rPr>
        <w:t>和系统</w:t>
      </w:r>
      <w:r>
        <w:rPr>
          <w:color w:val="auto"/>
        </w:rPr>
        <w:t>测试，提交完整的测试案例及达到准出标准的单元</w:t>
      </w:r>
      <w:r>
        <w:rPr>
          <w:rFonts w:hint="eastAsia"/>
          <w:color w:val="auto"/>
        </w:rPr>
        <w:t>、</w:t>
      </w:r>
      <w:r>
        <w:rPr>
          <w:color w:val="auto"/>
        </w:rPr>
        <w:t>集成</w:t>
      </w:r>
      <w:r>
        <w:rPr>
          <w:rFonts w:hint="eastAsia"/>
          <w:color w:val="auto"/>
        </w:rPr>
        <w:t>和系统</w:t>
      </w:r>
      <w:r>
        <w:rPr>
          <w:color w:val="auto"/>
        </w:rPr>
        <w:t>测试报告。</w:t>
      </w:r>
    </w:p>
    <w:p w14:paraId="5EE8F37C">
      <w:pPr>
        <w:ind w:firstLine="420"/>
        <w:rPr>
          <w:color w:val="auto"/>
        </w:rPr>
      </w:pPr>
      <w:r>
        <w:rPr>
          <w:color w:val="auto"/>
        </w:rPr>
        <w:t>2</w:t>
      </w:r>
      <w:r>
        <w:rPr>
          <w:rFonts w:hint="eastAsia"/>
          <w:color w:val="auto"/>
        </w:rPr>
        <w:t>）</w:t>
      </w:r>
      <w:r>
        <w:rPr>
          <w:color w:val="auto"/>
        </w:rPr>
        <w:t>响应人应提供专职的性能测试负责人及性能测试人员进行系统的性能测试，提交满足系统性能指标的性能测试报告。</w:t>
      </w:r>
    </w:p>
    <w:p w14:paraId="29D1B9DC">
      <w:pPr>
        <w:ind w:firstLine="420"/>
        <w:rPr>
          <w:color w:val="auto"/>
        </w:rPr>
      </w:pPr>
      <w:r>
        <w:rPr>
          <w:color w:val="auto"/>
        </w:rPr>
        <w:t>3</w:t>
      </w:r>
      <w:r>
        <w:rPr>
          <w:rFonts w:hint="eastAsia"/>
          <w:color w:val="auto"/>
        </w:rPr>
        <w:t>）</w:t>
      </w:r>
      <w:r>
        <w:rPr>
          <w:color w:val="auto"/>
        </w:rPr>
        <w:t>响应人应指派专职的测试项目经理及项目成员进行系统测试，参照</w:t>
      </w:r>
      <w:r>
        <w:rPr>
          <w:rFonts w:hint="eastAsia"/>
          <w:color w:val="auto"/>
        </w:rPr>
        <w:t>采购人</w:t>
      </w:r>
      <w:r>
        <w:rPr>
          <w:color w:val="auto"/>
        </w:rPr>
        <w:t>系统测试准入准出标准。</w:t>
      </w:r>
    </w:p>
    <w:tbl>
      <w:tblPr>
        <w:tblStyle w:val="19"/>
        <w:tblW w:w="7969" w:type="dxa"/>
        <w:tblInd w:w="2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262"/>
        <w:gridCol w:w="6707"/>
      </w:tblGrid>
      <w:tr w14:paraId="76B5D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6DD3F048">
            <w:pPr>
              <w:ind w:firstLine="0" w:firstLineChars="0"/>
              <w:jc w:val="center"/>
              <w:rPr>
                <w:b/>
                <w:color w:val="auto"/>
                <w:szCs w:val="24"/>
              </w:rPr>
            </w:pPr>
            <w:r>
              <w:rPr>
                <w:rFonts w:hint="eastAsia"/>
                <w:b/>
                <w:color w:val="auto"/>
                <w:szCs w:val="24"/>
              </w:rPr>
              <w:t>系统测试准入准出标准</w:t>
            </w:r>
          </w:p>
        </w:tc>
      </w:tr>
      <w:tr w14:paraId="79EA7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3A44BBEE">
            <w:pPr>
              <w:ind w:firstLine="0" w:firstLineChars="0"/>
              <w:rPr>
                <w:b/>
                <w:color w:val="auto"/>
                <w:szCs w:val="24"/>
              </w:rPr>
            </w:pPr>
            <w:r>
              <w:rPr>
                <w:rFonts w:hint="eastAsia"/>
                <w:b/>
                <w:color w:val="auto"/>
                <w:szCs w:val="24"/>
              </w:rPr>
              <w:t>一、系统测试准入标准</w:t>
            </w:r>
          </w:p>
        </w:tc>
      </w:tr>
      <w:tr w14:paraId="6697B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4"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31999DA">
            <w:pPr>
              <w:ind w:firstLine="0" w:firstLineChars="0"/>
              <w:jc w:val="center"/>
              <w:rPr>
                <w:b/>
                <w:color w:val="auto"/>
                <w:szCs w:val="24"/>
              </w:rPr>
            </w:pPr>
            <w:r>
              <w:rPr>
                <w:rFonts w:hint="eastAsia"/>
                <w:b/>
                <w:color w:val="auto"/>
                <w:szCs w:val="24"/>
              </w:rPr>
              <w:t>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8300E0B">
            <w:pPr>
              <w:ind w:firstLine="0" w:firstLineChars="0"/>
              <w:jc w:val="center"/>
              <w:rPr>
                <w:b/>
                <w:color w:val="auto"/>
                <w:szCs w:val="24"/>
              </w:rPr>
            </w:pPr>
            <w:r>
              <w:rPr>
                <w:rFonts w:hint="eastAsia"/>
                <w:b/>
                <w:color w:val="auto"/>
                <w:szCs w:val="24"/>
              </w:rPr>
              <w:t>准入条件</w:t>
            </w:r>
          </w:p>
        </w:tc>
      </w:tr>
      <w:tr w14:paraId="6FB96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64867495">
            <w:pPr>
              <w:ind w:firstLine="0" w:firstLineChars="0"/>
              <w:jc w:val="center"/>
              <w:rPr>
                <w:color w:val="auto"/>
                <w:szCs w:val="24"/>
              </w:rPr>
            </w:pPr>
            <w:r>
              <w:rPr>
                <w:rFonts w:hint="eastAsia"/>
                <w:color w:val="auto"/>
                <w:szCs w:val="24"/>
              </w:rPr>
              <w:t>计划阶段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5336514">
            <w:pPr>
              <w:ind w:firstLine="0" w:firstLineChars="0"/>
              <w:rPr>
                <w:color w:val="auto"/>
                <w:szCs w:val="24"/>
              </w:rPr>
            </w:pPr>
            <w:r>
              <w:rPr>
                <w:rFonts w:hint="eastAsia"/>
                <w:color w:val="auto"/>
                <w:szCs w:val="24"/>
              </w:rPr>
              <w:t>开发项目在立项之初应提交纸质测试服务申请单给测试负责人</w:t>
            </w:r>
          </w:p>
        </w:tc>
      </w:tr>
      <w:tr w14:paraId="2A6B8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36CF7AB6">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0A37926">
            <w:pPr>
              <w:ind w:firstLine="0" w:firstLineChars="0"/>
              <w:rPr>
                <w:color w:val="auto"/>
                <w:szCs w:val="24"/>
              </w:rPr>
            </w:pPr>
            <w:r>
              <w:rPr>
                <w:rFonts w:hint="eastAsia"/>
                <w:color w:val="auto"/>
                <w:szCs w:val="24"/>
              </w:rPr>
              <w:t>开发项目整体项目计划必须包含系统测试计划或系统测试计划时间</w:t>
            </w:r>
          </w:p>
        </w:tc>
      </w:tr>
      <w:tr w14:paraId="660EA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7A7D9CBD">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FF2F0DA">
            <w:pPr>
              <w:ind w:firstLine="0" w:firstLineChars="0"/>
              <w:rPr>
                <w:color w:val="auto"/>
                <w:szCs w:val="24"/>
              </w:rPr>
            </w:pPr>
            <w:r>
              <w:rPr>
                <w:rFonts w:hint="eastAsia"/>
                <w:color w:val="auto"/>
                <w:szCs w:val="24"/>
              </w:rPr>
              <w:t>测试方要求的需求说明书及相关说明书已经通过评审，并形成终稿；文档包括但不限于：业务需求、需求说明书、系统原型、概要设计（可选）、用户手册（可选）</w:t>
            </w:r>
          </w:p>
        </w:tc>
      </w:tr>
      <w:tr w14:paraId="44E3F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C3B77D7">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07147FF">
            <w:pPr>
              <w:ind w:firstLine="0" w:firstLineChars="0"/>
              <w:rPr>
                <w:color w:val="auto"/>
                <w:szCs w:val="24"/>
              </w:rPr>
            </w:pPr>
            <w:r>
              <w:rPr>
                <w:rFonts w:hint="eastAsia"/>
                <w:color w:val="auto"/>
                <w:szCs w:val="24"/>
              </w:rPr>
              <w:t>变更影响范围是否提供</w:t>
            </w:r>
          </w:p>
        </w:tc>
      </w:tr>
      <w:tr w14:paraId="1491F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restart"/>
            <w:tcBorders>
              <w:top w:val="single" w:color="auto" w:sz="6" w:space="0"/>
              <w:left w:val="single" w:color="auto" w:sz="6" w:space="0"/>
              <w:bottom w:val="single" w:color="auto" w:sz="6" w:space="0"/>
              <w:right w:val="single" w:color="auto" w:sz="6" w:space="0"/>
            </w:tcBorders>
            <w:shd w:val="clear" w:color="auto" w:fill="FFFFFF"/>
            <w:noWrap/>
            <w:vAlign w:val="center"/>
          </w:tcPr>
          <w:p w14:paraId="78FF5418">
            <w:pPr>
              <w:ind w:firstLine="0" w:firstLineChars="0"/>
              <w:jc w:val="center"/>
              <w:rPr>
                <w:color w:val="auto"/>
                <w:szCs w:val="24"/>
              </w:rPr>
            </w:pPr>
            <w:r>
              <w:rPr>
                <w:rFonts w:hint="eastAsia"/>
                <w:color w:val="auto"/>
                <w:szCs w:val="24"/>
              </w:rPr>
              <w:t>执行阶段</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64A1EF1">
            <w:pPr>
              <w:ind w:firstLine="0" w:firstLineChars="0"/>
              <w:rPr>
                <w:color w:val="auto"/>
                <w:szCs w:val="24"/>
              </w:rPr>
            </w:pPr>
            <w:r>
              <w:rPr>
                <w:rFonts w:hint="eastAsia"/>
                <w:color w:val="auto"/>
                <w:szCs w:val="24"/>
              </w:rPr>
              <w:t>提交的产品经过了开发自测(单元及集成测试），并提交了测试案例与测试报告，单元及集成测试案例密度不低于20条/每功能点，案例需求覆盖度100%，无致命及严重遗留问题</w:t>
            </w:r>
          </w:p>
        </w:tc>
      </w:tr>
      <w:tr w14:paraId="5FCEA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3EE66909">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8585557">
            <w:pPr>
              <w:ind w:firstLine="0" w:firstLineChars="0"/>
              <w:rPr>
                <w:color w:val="auto"/>
                <w:szCs w:val="24"/>
              </w:rPr>
            </w:pPr>
            <w:r>
              <w:rPr>
                <w:rFonts w:hint="eastAsia"/>
                <w:color w:val="auto"/>
                <w:szCs w:val="24"/>
              </w:rPr>
              <w:t>系统测试案例准备就绪（案例密度为35条/每功能点）</w:t>
            </w:r>
          </w:p>
        </w:tc>
      </w:tr>
      <w:tr w14:paraId="58286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14F518E8">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9C93CA6">
            <w:pPr>
              <w:ind w:firstLine="0" w:firstLineChars="0"/>
              <w:rPr>
                <w:color w:val="auto"/>
                <w:szCs w:val="24"/>
              </w:rPr>
            </w:pPr>
            <w:r>
              <w:rPr>
                <w:rFonts w:hint="eastAsia"/>
                <w:color w:val="auto"/>
                <w:szCs w:val="24"/>
              </w:rPr>
              <w:t>测试环境准备就绪</w:t>
            </w:r>
          </w:p>
        </w:tc>
      </w:tr>
      <w:tr w14:paraId="1D1C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201A6B64">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0969D44">
            <w:pPr>
              <w:ind w:firstLine="0" w:firstLineChars="0"/>
              <w:rPr>
                <w:color w:val="auto"/>
                <w:szCs w:val="24"/>
              </w:rPr>
            </w:pPr>
            <w:r>
              <w:rPr>
                <w:rFonts w:hint="eastAsia"/>
                <w:color w:val="auto"/>
                <w:szCs w:val="24"/>
              </w:rPr>
              <w:t>测试版本能够成功部署到测试环境。（如果测试和开发处于同一环境，则在系统测试开始前应该按照开发提交的版本重新部署）</w:t>
            </w:r>
          </w:p>
        </w:tc>
      </w:tr>
      <w:tr w14:paraId="6EB62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vMerge w:val="continue"/>
            <w:tcBorders>
              <w:top w:val="single" w:color="auto" w:sz="6" w:space="0"/>
              <w:left w:val="single" w:color="auto" w:sz="6" w:space="0"/>
              <w:bottom w:val="single" w:color="auto" w:sz="6" w:space="0"/>
              <w:right w:val="single" w:color="auto" w:sz="6" w:space="0"/>
            </w:tcBorders>
            <w:shd w:val="clear" w:color="auto" w:fill="FFFFFF"/>
            <w:noWrap/>
            <w:vAlign w:val="center"/>
          </w:tcPr>
          <w:p w14:paraId="58409783">
            <w:pPr>
              <w:ind w:firstLine="420"/>
              <w:rPr>
                <w:color w:val="auto"/>
              </w:rPr>
            </w:pP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1016CC2">
            <w:pPr>
              <w:ind w:firstLine="0" w:firstLineChars="0"/>
              <w:rPr>
                <w:color w:val="auto"/>
                <w:szCs w:val="24"/>
              </w:rPr>
            </w:pPr>
            <w:r>
              <w:rPr>
                <w:rFonts w:hint="eastAsia"/>
                <w:color w:val="auto"/>
                <w:szCs w:val="24"/>
              </w:rPr>
              <w:t>冒烟测试达到通过标准（冒烟测试案例通过率大于90%，有效缺陷率不高于10%）</w:t>
            </w:r>
          </w:p>
        </w:tc>
      </w:tr>
      <w:tr w14:paraId="62393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5CB9E2A8">
            <w:pPr>
              <w:ind w:firstLine="0" w:firstLineChars="0"/>
              <w:rPr>
                <w:b/>
                <w:color w:val="auto"/>
                <w:szCs w:val="24"/>
              </w:rPr>
            </w:pPr>
            <w:r>
              <w:rPr>
                <w:rFonts w:hint="eastAsia"/>
                <w:b/>
                <w:color w:val="auto"/>
                <w:szCs w:val="24"/>
              </w:rPr>
              <w:t>二、暂停/继续标准：满足下列之一的条件并由项目组审核同意，测试可以暂停</w:t>
            </w:r>
          </w:p>
        </w:tc>
      </w:tr>
      <w:tr w14:paraId="73C7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82FB455">
            <w:pPr>
              <w:ind w:firstLine="0" w:firstLineChars="0"/>
              <w:jc w:val="center"/>
              <w:rPr>
                <w:b/>
                <w:color w:val="auto"/>
                <w:szCs w:val="24"/>
              </w:rPr>
            </w:pPr>
            <w:r>
              <w:rPr>
                <w:rFonts w:hint="eastAsia"/>
                <w:b/>
                <w:color w:val="auto"/>
                <w:szCs w:val="24"/>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9260CD9">
            <w:pPr>
              <w:ind w:firstLine="0" w:firstLineChars="0"/>
              <w:jc w:val="center"/>
              <w:rPr>
                <w:b/>
                <w:color w:val="auto"/>
                <w:szCs w:val="24"/>
              </w:rPr>
            </w:pPr>
            <w:r>
              <w:rPr>
                <w:rFonts w:hint="eastAsia"/>
                <w:b/>
                <w:color w:val="auto"/>
                <w:szCs w:val="24"/>
              </w:rPr>
              <w:t>暂停条件</w:t>
            </w:r>
          </w:p>
        </w:tc>
      </w:tr>
      <w:tr w14:paraId="77447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49858E2">
            <w:pPr>
              <w:ind w:firstLine="0" w:firstLineChars="0"/>
              <w:jc w:val="center"/>
              <w:rPr>
                <w:color w:val="auto"/>
                <w:szCs w:val="24"/>
              </w:rPr>
            </w:pPr>
            <w:r>
              <w:rPr>
                <w:rFonts w:hint="eastAsia"/>
                <w:color w:val="auto"/>
                <w:szCs w:val="24"/>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396B256">
            <w:pPr>
              <w:ind w:firstLine="0" w:firstLineChars="0"/>
              <w:rPr>
                <w:color w:val="auto"/>
                <w:szCs w:val="24"/>
              </w:rPr>
            </w:pPr>
            <w:r>
              <w:rPr>
                <w:rFonts w:hint="eastAsia"/>
                <w:color w:val="auto"/>
                <w:szCs w:val="24"/>
              </w:rPr>
              <w:t>由于程序、环境原因导致测试无法进行</w:t>
            </w:r>
          </w:p>
        </w:tc>
      </w:tr>
      <w:tr w14:paraId="5E6E8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9A5DAC0">
            <w:pPr>
              <w:ind w:firstLine="0" w:firstLineChars="0"/>
              <w:jc w:val="center"/>
              <w:rPr>
                <w:color w:val="auto"/>
                <w:szCs w:val="24"/>
              </w:rPr>
            </w:pPr>
            <w:r>
              <w:rPr>
                <w:rFonts w:hint="eastAsia"/>
                <w:color w:val="auto"/>
                <w:szCs w:val="24"/>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AC5B99E">
            <w:pPr>
              <w:ind w:firstLine="0" w:firstLineChars="0"/>
              <w:rPr>
                <w:color w:val="auto"/>
                <w:szCs w:val="24"/>
              </w:rPr>
            </w:pPr>
            <w:r>
              <w:rPr>
                <w:rFonts w:hint="eastAsia"/>
                <w:color w:val="auto"/>
                <w:szCs w:val="24"/>
              </w:rPr>
              <w:t>项目暂停，已无测试必要</w:t>
            </w:r>
          </w:p>
        </w:tc>
      </w:tr>
      <w:tr w14:paraId="607AF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1873A6B">
            <w:pPr>
              <w:ind w:firstLine="0" w:firstLineChars="0"/>
              <w:jc w:val="center"/>
              <w:rPr>
                <w:color w:val="auto"/>
                <w:szCs w:val="24"/>
              </w:rPr>
            </w:pPr>
            <w:r>
              <w:rPr>
                <w:rFonts w:hint="eastAsia"/>
                <w:color w:val="auto"/>
                <w:szCs w:val="24"/>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BD90AAA">
            <w:pPr>
              <w:ind w:firstLine="0" w:firstLineChars="0"/>
              <w:rPr>
                <w:color w:val="auto"/>
                <w:szCs w:val="24"/>
              </w:rPr>
            </w:pPr>
            <w:r>
              <w:rPr>
                <w:rFonts w:hint="eastAsia"/>
                <w:color w:val="auto"/>
                <w:szCs w:val="24"/>
              </w:rPr>
              <w:t>测试需求稳定指数小于70%，则暂停测试执行</w:t>
            </w:r>
          </w:p>
        </w:tc>
      </w:tr>
      <w:tr w14:paraId="6EBF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8383FBC">
            <w:pPr>
              <w:ind w:firstLine="0" w:firstLineChars="0"/>
              <w:jc w:val="center"/>
              <w:rPr>
                <w:color w:val="auto"/>
                <w:szCs w:val="24"/>
              </w:rPr>
            </w:pPr>
            <w:r>
              <w:rPr>
                <w:rFonts w:hint="eastAsia"/>
                <w:color w:val="auto"/>
                <w:szCs w:val="24"/>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0F1FE91">
            <w:pPr>
              <w:ind w:firstLine="0" w:firstLineChars="0"/>
              <w:rPr>
                <w:color w:val="auto"/>
                <w:szCs w:val="24"/>
              </w:rPr>
            </w:pPr>
            <w:r>
              <w:rPr>
                <w:rFonts w:hint="eastAsia"/>
                <w:color w:val="auto"/>
                <w:szCs w:val="24"/>
              </w:rPr>
              <w:t>每个里程碑节点或执行轮次案例执行通过率低于60%，则暂停测试执行</w:t>
            </w:r>
          </w:p>
        </w:tc>
      </w:tr>
      <w:tr w14:paraId="70343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FAABD15">
            <w:pPr>
              <w:ind w:firstLine="0" w:firstLineChars="0"/>
              <w:jc w:val="center"/>
              <w:rPr>
                <w:color w:val="auto"/>
                <w:szCs w:val="24"/>
              </w:rPr>
            </w:pPr>
            <w:r>
              <w:rPr>
                <w:rFonts w:hint="eastAsia"/>
                <w:color w:val="auto"/>
                <w:szCs w:val="24"/>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424BB59">
            <w:pPr>
              <w:ind w:firstLine="0" w:firstLineChars="0"/>
              <w:rPr>
                <w:color w:val="auto"/>
                <w:szCs w:val="24"/>
              </w:rPr>
            </w:pPr>
            <w:r>
              <w:rPr>
                <w:rFonts w:hint="eastAsia"/>
                <w:color w:val="auto"/>
                <w:szCs w:val="24"/>
              </w:rPr>
              <w:t>每个里程碑节点或执行轮次缺陷解决率低于50%，则暂停测试执行</w:t>
            </w:r>
          </w:p>
        </w:tc>
      </w:tr>
      <w:tr w14:paraId="33610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DD5A78B">
            <w:pPr>
              <w:ind w:firstLine="0" w:firstLineChars="0"/>
              <w:jc w:val="center"/>
              <w:rPr>
                <w:color w:val="auto"/>
                <w:szCs w:val="24"/>
              </w:rPr>
            </w:pPr>
            <w:r>
              <w:rPr>
                <w:rFonts w:hint="eastAsia"/>
                <w:color w:val="auto"/>
                <w:szCs w:val="24"/>
              </w:rPr>
              <w:t>7</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889391E">
            <w:pPr>
              <w:ind w:firstLine="0" w:firstLineChars="0"/>
              <w:rPr>
                <w:color w:val="auto"/>
                <w:szCs w:val="24"/>
              </w:rPr>
            </w:pPr>
            <w:r>
              <w:rPr>
                <w:rFonts w:hint="eastAsia"/>
                <w:color w:val="auto"/>
                <w:szCs w:val="24"/>
              </w:rPr>
              <w:t>每个里程碑节点或执行轮次缺陷的案例命中率大于25%，则暂停测试执行</w:t>
            </w:r>
          </w:p>
        </w:tc>
      </w:tr>
      <w:tr w14:paraId="3EFE1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B84526A">
            <w:pPr>
              <w:ind w:firstLine="0" w:firstLineChars="0"/>
              <w:jc w:val="center"/>
              <w:rPr>
                <w:color w:val="auto"/>
                <w:szCs w:val="24"/>
              </w:rPr>
            </w:pPr>
            <w:r>
              <w:rPr>
                <w:rFonts w:hint="eastAsia"/>
                <w:color w:val="auto"/>
                <w:szCs w:val="24"/>
              </w:rPr>
              <w:t>8</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E5A7318">
            <w:pPr>
              <w:ind w:firstLine="0" w:firstLineChars="0"/>
              <w:rPr>
                <w:color w:val="auto"/>
                <w:szCs w:val="24"/>
              </w:rPr>
            </w:pPr>
            <w:r>
              <w:rPr>
                <w:rFonts w:hint="eastAsia"/>
                <w:color w:val="auto"/>
                <w:szCs w:val="24"/>
              </w:rPr>
              <w:t>每个里程碑节点或执行轮次严重以上缺陷占比大于35%，则暂停测试执行</w:t>
            </w:r>
          </w:p>
        </w:tc>
      </w:tr>
      <w:tr w14:paraId="6C719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4CE6FDA">
            <w:pPr>
              <w:ind w:firstLine="0" w:firstLineChars="0"/>
              <w:jc w:val="center"/>
              <w:rPr>
                <w:color w:val="auto"/>
                <w:szCs w:val="24"/>
              </w:rPr>
            </w:pPr>
            <w:r>
              <w:rPr>
                <w:rFonts w:hint="eastAsia"/>
                <w:color w:val="auto"/>
                <w:szCs w:val="24"/>
              </w:rPr>
              <w:t>9</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EA5DF3A">
            <w:pPr>
              <w:ind w:firstLine="0" w:firstLineChars="0"/>
              <w:rPr>
                <w:color w:val="auto"/>
                <w:szCs w:val="24"/>
              </w:rPr>
            </w:pPr>
            <w:r>
              <w:rPr>
                <w:rFonts w:hint="eastAsia"/>
                <w:color w:val="auto"/>
                <w:szCs w:val="24"/>
              </w:rPr>
              <w:t>测试环境、测试数据、测试人员等等测试必备条件不再具备或发生变化导致测试不能进行，则暂停测试执行</w:t>
            </w:r>
          </w:p>
        </w:tc>
      </w:tr>
      <w:tr w14:paraId="6625C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CA88698">
            <w:pPr>
              <w:ind w:firstLine="0" w:firstLineChars="0"/>
              <w:jc w:val="center"/>
              <w:rPr>
                <w:color w:val="auto"/>
                <w:szCs w:val="24"/>
              </w:rPr>
            </w:pPr>
            <w:r>
              <w:rPr>
                <w:rFonts w:hint="eastAsia"/>
                <w:color w:val="auto"/>
                <w:szCs w:val="24"/>
              </w:rPr>
              <w:t>10</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8404F0F">
            <w:pPr>
              <w:ind w:firstLine="0" w:firstLineChars="0"/>
              <w:rPr>
                <w:color w:val="auto"/>
                <w:szCs w:val="24"/>
              </w:rPr>
            </w:pPr>
            <w:r>
              <w:rPr>
                <w:rFonts w:hint="eastAsia"/>
                <w:color w:val="auto"/>
                <w:szCs w:val="24"/>
              </w:rPr>
              <w:t>项目组确定的可以暂停的其他条件</w:t>
            </w:r>
          </w:p>
        </w:tc>
      </w:tr>
      <w:tr w14:paraId="4E03E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1E1B2A7">
            <w:pPr>
              <w:ind w:firstLine="0" w:firstLineChars="0"/>
              <w:jc w:val="center"/>
              <w:rPr>
                <w:color w:val="auto"/>
                <w:szCs w:val="24"/>
              </w:rPr>
            </w:pPr>
            <w:r>
              <w:rPr>
                <w:rFonts w:hint="eastAsia"/>
                <w:color w:val="auto"/>
                <w:szCs w:val="24"/>
              </w:rPr>
              <w:t>11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A8F7EE4">
            <w:pPr>
              <w:ind w:firstLine="0" w:firstLineChars="0"/>
              <w:rPr>
                <w:color w:val="auto"/>
                <w:szCs w:val="24"/>
              </w:rPr>
            </w:pPr>
            <w:r>
              <w:rPr>
                <w:rFonts w:hint="eastAsia"/>
                <w:color w:val="auto"/>
                <w:szCs w:val="24"/>
              </w:rPr>
              <w:t>恢复以上的条件并由项目组审核同意，测试可以继续</w:t>
            </w:r>
          </w:p>
        </w:tc>
      </w:tr>
      <w:tr w14:paraId="0121F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062629E5">
            <w:pPr>
              <w:ind w:firstLine="0" w:firstLineChars="0"/>
              <w:rPr>
                <w:b/>
                <w:color w:val="auto"/>
                <w:szCs w:val="24"/>
              </w:rPr>
            </w:pPr>
            <w:r>
              <w:rPr>
                <w:rFonts w:hint="eastAsia"/>
                <w:b/>
                <w:color w:val="auto"/>
                <w:szCs w:val="24"/>
              </w:rPr>
              <w:t>三、系统测试准出标准：同时满足以下条件，系统测试完成</w:t>
            </w:r>
          </w:p>
        </w:tc>
      </w:tr>
      <w:tr w14:paraId="2C5AE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E1C4AA4">
            <w:pPr>
              <w:ind w:firstLine="0" w:firstLineChars="0"/>
              <w:jc w:val="center"/>
              <w:rPr>
                <w:b/>
                <w:color w:val="auto"/>
                <w:szCs w:val="24"/>
              </w:rPr>
            </w:pPr>
            <w:r>
              <w:rPr>
                <w:rFonts w:hint="eastAsia"/>
                <w:b/>
                <w:color w:val="auto"/>
                <w:szCs w:val="24"/>
              </w:rPr>
              <w:t>序号</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E6824DB">
            <w:pPr>
              <w:ind w:firstLine="0" w:firstLineChars="0"/>
              <w:jc w:val="center"/>
              <w:rPr>
                <w:b/>
                <w:color w:val="auto"/>
                <w:szCs w:val="24"/>
              </w:rPr>
            </w:pPr>
            <w:r>
              <w:rPr>
                <w:rFonts w:hint="eastAsia"/>
                <w:b/>
                <w:color w:val="auto"/>
                <w:szCs w:val="24"/>
              </w:rPr>
              <w:t>准出条件</w:t>
            </w:r>
          </w:p>
        </w:tc>
      </w:tr>
      <w:tr w14:paraId="22D8A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5B0312D">
            <w:pPr>
              <w:ind w:firstLine="0" w:firstLineChars="0"/>
              <w:jc w:val="center"/>
              <w:rPr>
                <w:color w:val="auto"/>
                <w:szCs w:val="24"/>
              </w:rPr>
            </w:pPr>
            <w:r>
              <w:rPr>
                <w:rFonts w:hint="eastAsia"/>
                <w:color w:val="auto"/>
                <w:szCs w:val="24"/>
              </w:rPr>
              <w:t>1</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35B5BAC">
            <w:pPr>
              <w:ind w:firstLine="0" w:firstLineChars="0"/>
              <w:rPr>
                <w:color w:val="auto"/>
                <w:szCs w:val="24"/>
              </w:rPr>
            </w:pPr>
            <w:r>
              <w:rPr>
                <w:rFonts w:hint="eastAsia"/>
                <w:color w:val="auto"/>
                <w:szCs w:val="24"/>
              </w:rPr>
              <w:t>测试需求覆盖率达到100%，测试案例覆盖度100%</w:t>
            </w:r>
          </w:p>
        </w:tc>
      </w:tr>
      <w:tr w14:paraId="57DD6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C2CE772">
            <w:pPr>
              <w:ind w:firstLine="0" w:firstLineChars="0"/>
              <w:jc w:val="center"/>
              <w:rPr>
                <w:color w:val="auto"/>
                <w:szCs w:val="24"/>
              </w:rPr>
            </w:pPr>
            <w:r>
              <w:rPr>
                <w:rFonts w:hint="eastAsia"/>
                <w:color w:val="auto"/>
                <w:szCs w:val="24"/>
              </w:rPr>
              <w:t>2</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1B7EBCA">
            <w:pPr>
              <w:ind w:firstLine="0" w:firstLineChars="0"/>
              <w:rPr>
                <w:color w:val="auto"/>
                <w:szCs w:val="24"/>
              </w:rPr>
            </w:pPr>
            <w:r>
              <w:rPr>
                <w:rFonts w:hint="eastAsia"/>
                <w:color w:val="auto"/>
                <w:szCs w:val="24"/>
              </w:rPr>
              <w:t>测试案例执行率达到100%，测试通过率95%</w:t>
            </w:r>
          </w:p>
        </w:tc>
      </w:tr>
      <w:tr w14:paraId="232ED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32F9131">
            <w:pPr>
              <w:ind w:firstLine="0" w:firstLineChars="0"/>
              <w:jc w:val="center"/>
              <w:rPr>
                <w:color w:val="auto"/>
                <w:szCs w:val="24"/>
              </w:rPr>
            </w:pPr>
            <w:r>
              <w:rPr>
                <w:rFonts w:hint="eastAsia"/>
                <w:color w:val="auto"/>
                <w:szCs w:val="24"/>
              </w:rPr>
              <w:t>3</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2E20035">
            <w:pPr>
              <w:ind w:firstLine="0" w:firstLineChars="0"/>
              <w:rPr>
                <w:color w:val="auto"/>
                <w:szCs w:val="24"/>
              </w:rPr>
            </w:pPr>
            <w:r>
              <w:rPr>
                <w:rFonts w:hint="eastAsia"/>
                <w:color w:val="auto"/>
                <w:szCs w:val="24"/>
              </w:rPr>
              <w:t>缺陷修复率达到95%</w:t>
            </w:r>
          </w:p>
        </w:tc>
      </w:tr>
      <w:tr w14:paraId="2B47F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620BEA8">
            <w:pPr>
              <w:ind w:firstLine="0" w:firstLineChars="0"/>
              <w:jc w:val="center"/>
              <w:rPr>
                <w:color w:val="auto"/>
                <w:szCs w:val="24"/>
              </w:rPr>
            </w:pPr>
            <w:r>
              <w:rPr>
                <w:rFonts w:hint="eastAsia"/>
                <w:color w:val="auto"/>
                <w:szCs w:val="24"/>
              </w:rPr>
              <w:t>4</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13F0FA5">
            <w:pPr>
              <w:ind w:firstLine="0" w:firstLineChars="0"/>
              <w:rPr>
                <w:color w:val="auto"/>
                <w:szCs w:val="24"/>
              </w:rPr>
            </w:pPr>
            <w:r>
              <w:rPr>
                <w:rFonts w:hint="eastAsia"/>
                <w:color w:val="auto"/>
                <w:szCs w:val="24"/>
              </w:rPr>
              <w:t>致命缺陷、严重缺陷解决率达到100%</w:t>
            </w:r>
          </w:p>
        </w:tc>
      </w:tr>
      <w:tr w14:paraId="2B9A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26498EC">
            <w:pPr>
              <w:ind w:firstLine="0" w:firstLineChars="0"/>
              <w:jc w:val="center"/>
              <w:rPr>
                <w:color w:val="auto"/>
                <w:szCs w:val="24"/>
              </w:rPr>
            </w:pPr>
            <w:r>
              <w:rPr>
                <w:rFonts w:hint="eastAsia"/>
                <w:color w:val="auto"/>
                <w:szCs w:val="24"/>
              </w:rPr>
              <w:t>5</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84B4B75">
            <w:pPr>
              <w:ind w:firstLine="0" w:firstLineChars="0"/>
              <w:rPr>
                <w:color w:val="auto"/>
                <w:szCs w:val="24"/>
              </w:rPr>
            </w:pPr>
            <w:r>
              <w:rPr>
                <w:rFonts w:hint="eastAsia"/>
                <w:color w:val="auto"/>
                <w:szCs w:val="24"/>
              </w:rPr>
              <w:t>一般缺陷、微小缺陷解决率达到90%以上，建议缺陷解决率达到80%以上，且未解决缺陷得项目组认可</w:t>
            </w:r>
          </w:p>
        </w:tc>
      </w:tr>
      <w:tr w14:paraId="674A0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78865FE">
            <w:pPr>
              <w:ind w:firstLine="0" w:firstLineChars="0"/>
              <w:jc w:val="center"/>
              <w:rPr>
                <w:color w:val="auto"/>
                <w:szCs w:val="24"/>
              </w:rPr>
            </w:pPr>
            <w:r>
              <w:rPr>
                <w:rFonts w:hint="eastAsia"/>
                <w:color w:val="auto"/>
                <w:szCs w:val="24"/>
              </w:rPr>
              <w:t>6</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6BDB808">
            <w:pPr>
              <w:ind w:firstLine="0" w:firstLineChars="0"/>
              <w:rPr>
                <w:color w:val="auto"/>
                <w:szCs w:val="24"/>
              </w:rPr>
            </w:pPr>
            <w:r>
              <w:rPr>
                <w:rFonts w:hint="eastAsia"/>
                <w:color w:val="auto"/>
                <w:szCs w:val="24"/>
              </w:rPr>
              <w:t>提交系统测试报告及通过评审</w:t>
            </w:r>
          </w:p>
        </w:tc>
      </w:tr>
      <w:tr w14:paraId="7707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7969" w:type="dxa"/>
            <w:gridSpan w:val="2"/>
            <w:tcBorders>
              <w:top w:val="single" w:color="auto" w:sz="6" w:space="0"/>
              <w:left w:val="single" w:color="auto" w:sz="6" w:space="0"/>
              <w:bottom w:val="single" w:color="auto" w:sz="6" w:space="0"/>
              <w:right w:val="single" w:color="auto" w:sz="6" w:space="0"/>
            </w:tcBorders>
            <w:shd w:val="clear" w:color="auto" w:fill="FFFFFF"/>
            <w:noWrap/>
            <w:vAlign w:val="center"/>
          </w:tcPr>
          <w:p w14:paraId="1E066971">
            <w:pPr>
              <w:ind w:firstLine="0" w:firstLineChars="0"/>
              <w:rPr>
                <w:b/>
                <w:color w:val="auto"/>
                <w:szCs w:val="24"/>
              </w:rPr>
            </w:pPr>
            <w:r>
              <w:rPr>
                <w:rFonts w:hint="eastAsia"/>
                <w:b/>
                <w:color w:val="auto"/>
                <w:szCs w:val="24"/>
              </w:rPr>
              <w:t>四、测试指标公式附录</w:t>
            </w:r>
          </w:p>
        </w:tc>
      </w:tr>
      <w:tr w14:paraId="19BC5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32D58CF">
            <w:pPr>
              <w:ind w:firstLine="0" w:firstLineChars="0"/>
              <w:jc w:val="center"/>
              <w:rPr>
                <w:b/>
                <w:color w:val="auto"/>
                <w:szCs w:val="24"/>
              </w:rPr>
            </w:pPr>
            <w:r>
              <w:rPr>
                <w:rFonts w:hint="eastAsia"/>
                <w:b/>
                <w:color w:val="auto"/>
                <w:szCs w:val="24"/>
              </w:rPr>
              <w:t>TPI</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DB4BCCF">
            <w:pPr>
              <w:ind w:firstLine="0" w:firstLineChars="0"/>
              <w:jc w:val="center"/>
              <w:rPr>
                <w:b/>
                <w:color w:val="auto"/>
                <w:szCs w:val="24"/>
              </w:rPr>
            </w:pPr>
            <w:r>
              <w:rPr>
                <w:rFonts w:hint="eastAsia"/>
                <w:b/>
                <w:color w:val="auto"/>
                <w:szCs w:val="24"/>
              </w:rPr>
              <w:t>公式</w:t>
            </w:r>
          </w:p>
        </w:tc>
      </w:tr>
      <w:tr w14:paraId="768DD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69C51712">
            <w:pPr>
              <w:ind w:firstLine="0" w:firstLineChars="0"/>
              <w:rPr>
                <w:color w:val="auto"/>
                <w:szCs w:val="24"/>
              </w:rPr>
            </w:pPr>
            <w:r>
              <w:rPr>
                <w:rFonts w:hint="eastAsia"/>
                <w:color w:val="auto"/>
                <w:szCs w:val="24"/>
              </w:rPr>
              <w:t>测试需求覆盖率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912EFFF">
            <w:pPr>
              <w:ind w:firstLine="0" w:firstLineChars="0"/>
              <w:rPr>
                <w:color w:val="auto"/>
                <w:szCs w:val="24"/>
              </w:rPr>
            </w:pPr>
            <w:r>
              <w:rPr>
                <w:rFonts w:hint="eastAsia"/>
                <w:color w:val="auto"/>
                <w:szCs w:val="24"/>
              </w:rPr>
              <w:t>测试需求覆盖点/软件需求功能点</w:t>
            </w:r>
          </w:p>
        </w:tc>
      </w:tr>
      <w:tr w14:paraId="12BBF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A7F6676">
            <w:pPr>
              <w:ind w:firstLine="0" w:firstLineChars="0"/>
              <w:rPr>
                <w:color w:val="auto"/>
                <w:szCs w:val="24"/>
              </w:rPr>
            </w:pPr>
            <w:r>
              <w:rPr>
                <w:rFonts w:hint="eastAsia"/>
                <w:color w:val="auto"/>
                <w:szCs w:val="24"/>
              </w:rPr>
              <w:t>有效案例总数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48A8FD0">
            <w:pPr>
              <w:ind w:firstLine="0" w:firstLineChars="0"/>
              <w:rPr>
                <w:color w:val="auto"/>
                <w:szCs w:val="24"/>
              </w:rPr>
            </w:pPr>
            <w:r>
              <w:rPr>
                <w:rFonts w:hint="eastAsia"/>
                <w:color w:val="auto"/>
                <w:szCs w:val="24"/>
              </w:rPr>
              <w:t>案例总数-无效案例总数</w:t>
            </w:r>
          </w:p>
        </w:tc>
      </w:tr>
      <w:tr w14:paraId="1F6EC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0A5740C">
            <w:pPr>
              <w:ind w:firstLine="0" w:firstLineChars="0"/>
              <w:rPr>
                <w:color w:val="auto"/>
                <w:szCs w:val="24"/>
              </w:rPr>
            </w:pPr>
            <w:r>
              <w:rPr>
                <w:rFonts w:hint="eastAsia"/>
                <w:color w:val="auto"/>
                <w:szCs w:val="24"/>
              </w:rPr>
              <w:t>有效缺陷总数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661C27A">
            <w:pPr>
              <w:ind w:firstLine="0" w:firstLineChars="0"/>
              <w:rPr>
                <w:color w:val="auto"/>
                <w:szCs w:val="24"/>
              </w:rPr>
            </w:pPr>
            <w:r>
              <w:rPr>
                <w:rFonts w:hint="eastAsia"/>
                <w:color w:val="auto"/>
                <w:szCs w:val="24"/>
              </w:rPr>
              <w:t>缺陷总数-无效缺陷总数-伪缺陷总数</w:t>
            </w:r>
          </w:p>
        </w:tc>
      </w:tr>
      <w:tr w14:paraId="09F4A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779C5B40">
            <w:pPr>
              <w:ind w:firstLine="0" w:firstLineChars="0"/>
              <w:rPr>
                <w:color w:val="auto"/>
                <w:szCs w:val="24"/>
              </w:rPr>
            </w:pPr>
            <w:r>
              <w:rPr>
                <w:rFonts w:hint="eastAsia"/>
                <w:color w:val="auto"/>
                <w:szCs w:val="24"/>
              </w:rPr>
              <w:t>严重以上缺陷总数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4465A195">
            <w:pPr>
              <w:ind w:firstLine="0" w:firstLineChars="0"/>
              <w:rPr>
                <w:color w:val="auto"/>
                <w:szCs w:val="24"/>
              </w:rPr>
            </w:pPr>
            <w:r>
              <w:rPr>
                <w:rFonts w:hint="eastAsia"/>
                <w:color w:val="auto"/>
                <w:szCs w:val="24"/>
              </w:rPr>
              <w:t>严重及致命缺陷总数-无效的严重及致命缺陷总数</w:t>
            </w:r>
          </w:p>
        </w:tc>
      </w:tr>
      <w:tr w14:paraId="1D8BD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A38BECE">
            <w:pPr>
              <w:ind w:firstLine="0" w:firstLineChars="0"/>
              <w:rPr>
                <w:color w:val="auto"/>
                <w:szCs w:val="24"/>
              </w:rPr>
            </w:pPr>
            <w:r>
              <w:rPr>
                <w:rFonts w:hint="eastAsia"/>
                <w:color w:val="auto"/>
                <w:szCs w:val="24"/>
              </w:rPr>
              <w:t>案例执行率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3DFC9278">
            <w:pPr>
              <w:ind w:firstLine="0" w:firstLineChars="0"/>
              <w:rPr>
                <w:color w:val="auto"/>
                <w:szCs w:val="24"/>
              </w:rPr>
            </w:pPr>
            <w:r>
              <w:rPr>
                <w:rFonts w:hint="eastAsia"/>
                <w:color w:val="auto"/>
                <w:szCs w:val="24"/>
              </w:rPr>
              <w:t>每轮执行案例数/每轮计划执行的案例个数</w:t>
            </w:r>
          </w:p>
        </w:tc>
      </w:tr>
      <w:tr w14:paraId="09D33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17D6F038">
            <w:pPr>
              <w:ind w:firstLine="0" w:firstLineChars="0"/>
              <w:rPr>
                <w:color w:val="auto"/>
                <w:szCs w:val="24"/>
              </w:rPr>
            </w:pPr>
            <w:r>
              <w:rPr>
                <w:rFonts w:hint="eastAsia"/>
                <w:color w:val="auto"/>
                <w:szCs w:val="24"/>
              </w:rPr>
              <w:t>需求稳定指数</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2BCA4559">
            <w:pPr>
              <w:ind w:firstLine="0" w:firstLineChars="0"/>
              <w:rPr>
                <w:color w:val="auto"/>
                <w:szCs w:val="24"/>
              </w:rPr>
            </w:pPr>
            <w:r>
              <w:rPr>
                <w:rFonts w:hint="eastAsia"/>
                <w:color w:val="auto"/>
                <w:szCs w:val="24"/>
              </w:rPr>
              <w:t>（测试需求分析中规则数量-业务需求因素引起变更的测试需求规则数-开发因素引起变更的测试需求规则数）/测试需求分析中规则数量</w:t>
            </w:r>
          </w:p>
        </w:tc>
      </w:tr>
      <w:tr w14:paraId="7BE2A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0747545E">
            <w:pPr>
              <w:ind w:firstLine="0" w:firstLineChars="0"/>
              <w:rPr>
                <w:color w:val="auto"/>
                <w:szCs w:val="24"/>
              </w:rPr>
            </w:pPr>
            <w:r>
              <w:rPr>
                <w:rFonts w:hint="eastAsia"/>
                <w:color w:val="auto"/>
                <w:szCs w:val="24"/>
              </w:rPr>
              <w:t>案例执行通过率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center"/>
          </w:tcPr>
          <w:p w14:paraId="567C5C02">
            <w:pPr>
              <w:ind w:firstLine="0" w:firstLineChars="0"/>
              <w:rPr>
                <w:color w:val="auto"/>
                <w:szCs w:val="24"/>
              </w:rPr>
            </w:pPr>
            <w:r>
              <w:rPr>
                <w:rFonts w:hint="eastAsia"/>
                <w:color w:val="auto"/>
                <w:szCs w:val="24"/>
              </w:rPr>
              <w:t>每轮执行通过的案例个数/每轮执行案例数</w:t>
            </w:r>
          </w:p>
        </w:tc>
      </w:tr>
      <w:tr w14:paraId="3BAF7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41EC0A82">
            <w:pPr>
              <w:ind w:firstLine="0" w:firstLineChars="0"/>
              <w:rPr>
                <w:color w:val="auto"/>
                <w:szCs w:val="24"/>
              </w:rPr>
            </w:pPr>
            <w:r>
              <w:rPr>
                <w:rFonts w:hint="eastAsia"/>
                <w:color w:val="auto"/>
                <w:szCs w:val="24"/>
              </w:rPr>
              <w:t>缺陷的案例命中率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175BE6BC">
            <w:pPr>
              <w:ind w:firstLine="0" w:firstLineChars="0"/>
              <w:rPr>
                <w:color w:val="auto"/>
                <w:szCs w:val="24"/>
              </w:rPr>
            </w:pPr>
            <w:r>
              <w:rPr>
                <w:rFonts w:hint="eastAsia"/>
                <w:color w:val="auto"/>
                <w:szCs w:val="24"/>
              </w:rPr>
              <w:t>有效缺陷总数/有效案例总数</w:t>
            </w:r>
          </w:p>
        </w:tc>
      </w:tr>
      <w:tr w14:paraId="10797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5529EA0E">
            <w:pPr>
              <w:ind w:firstLine="0" w:firstLineChars="0"/>
              <w:rPr>
                <w:color w:val="auto"/>
                <w:szCs w:val="24"/>
              </w:rPr>
            </w:pPr>
            <w:r>
              <w:rPr>
                <w:rFonts w:hint="eastAsia"/>
                <w:color w:val="auto"/>
                <w:szCs w:val="24"/>
              </w:rPr>
              <w:t>严重以上缺陷占比</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44050ABB">
            <w:pPr>
              <w:ind w:firstLine="0" w:firstLineChars="0"/>
              <w:rPr>
                <w:color w:val="auto"/>
                <w:szCs w:val="24"/>
              </w:rPr>
            </w:pPr>
            <w:r>
              <w:rPr>
                <w:rFonts w:hint="eastAsia"/>
                <w:color w:val="auto"/>
                <w:szCs w:val="24"/>
              </w:rPr>
              <w:t>严重以上缺陷总数/有效缺陷总数</w:t>
            </w:r>
          </w:p>
        </w:tc>
      </w:tr>
      <w:tr w14:paraId="7BE06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62"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1E693224">
            <w:pPr>
              <w:ind w:firstLine="0" w:firstLineChars="0"/>
              <w:rPr>
                <w:color w:val="auto"/>
                <w:szCs w:val="24"/>
              </w:rPr>
            </w:pPr>
            <w:r>
              <w:rPr>
                <w:rFonts w:hint="eastAsia"/>
                <w:color w:val="auto"/>
                <w:szCs w:val="24"/>
              </w:rPr>
              <w:t>缺陷解决率</w:t>
            </w:r>
          </w:p>
        </w:tc>
        <w:tc>
          <w:tcPr>
            <w:tcW w:w="6707" w:type="dxa"/>
            <w:tcBorders>
              <w:top w:val="single" w:color="auto" w:sz="6" w:space="0"/>
              <w:left w:val="single" w:color="auto" w:sz="6" w:space="0"/>
              <w:bottom w:val="single" w:color="auto" w:sz="6" w:space="0"/>
              <w:right w:val="single" w:color="auto" w:sz="6" w:space="0"/>
            </w:tcBorders>
            <w:shd w:val="clear" w:color="auto" w:fill="FFFFFF"/>
            <w:noWrap/>
            <w:vAlign w:val="bottom"/>
          </w:tcPr>
          <w:p w14:paraId="44B5573C">
            <w:pPr>
              <w:ind w:firstLine="0" w:firstLineChars="0"/>
              <w:rPr>
                <w:color w:val="auto"/>
                <w:szCs w:val="24"/>
              </w:rPr>
            </w:pPr>
            <w:r>
              <w:rPr>
                <w:rFonts w:hint="eastAsia"/>
                <w:color w:val="auto"/>
                <w:szCs w:val="24"/>
              </w:rPr>
              <w:t>关闭缺陷总数/有效缺陷总数</w:t>
            </w:r>
          </w:p>
        </w:tc>
      </w:tr>
    </w:tbl>
    <w:p w14:paraId="6C24CE30">
      <w:pPr>
        <w:pStyle w:val="3"/>
        <w:rPr>
          <w:color w:val="auto"/>
        </w:rPr>
      </w:pPr>
      <w:r>
        <w:rPr>
          <w:color w:val="auto"/>
        </w:rPr>
        <w:t>4.</w:t>
      </w:r>
      <w:r>
        <w:rPr>
          <w:rFonts w:hint="eastAsia"/>
          <w:color w:val="auto"/>
        </w:rPr>
        <w:t>人员要求</w:t>
      </w:r>
    </w:p>
    <w:p w14:paraId="5B06F069">
      <w:pPr>
        <w:ind w:firstLine="420"/>
        <w:rPr>
          <w:color w:val="auto"/>
        </w:rPr>
      </w:pPr>
      <w:r>
        <w:rPr>
          <w:color w:val="auto"/>
        </w:rPr>
        <w:t>1</w:t>
      </w:r>
      <w:r>
        <w:rPr>
          <w:rFonts w:hint="eastAsia"/>
          <w:color w:val="auto"/>
        </w:rPr>
        <w:t>）响应人应承诺未征得采购人书面同意的情况下不得更换项目成员。</w:t>
      </w:r>
    </w:p>
    <w:p w14:paraId="3441D86B">
      <w:pPr>
        <w:ind w:firstLine="420"/>
        <w:rPr>
          <w:b/>
          <w:bCs/>
          <w:color w:val="auto"/>
        </w:rPr>
      </w:pPr>
      <w:r>
        <w:rPr>
          <w:color w:val="auto"/>
        </w:rPr>
        <w:t>2</w:t>
      </w:r>
      <w:r>
        <w:rPr>
          <w:rFonts w:hint="eastAsia"/>
          <w:color w:val="auto"/>
        </w:rPr>
        <w:t>）所有成员必须为响应人单位员工</w:t>
      </w:r>
      <w:r>
        <w:rPr>
          <w:rFonts w:hint="eastAsia"/>
          <w:b/>
          <w:bCs/>
          <w:color w:val="auto"/>
        </w:rPr>
        <w:t>，不得外包其他单位员工。</w:t>
      </w:r>
    </w:p>
    <w:tbl>
      <w:tblPr>
        <w:tblStyle w:val="19"/>
        <w:tblW w:w="9352"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1684"/>
        <w:gridCol w:w="7668"/>
      </w:tblGrid>
      <w:tr w14:paraId="682C0B6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l2br w:val="nil"/>
              <w:tr2bl w:val="nil"/>
            </w:tcBorders>
            <w:vAlign w:val="center"/>
          </w:tcPr>
          <w:p w14:paraId="5D184667">
            <w:pPr>
              <w:pStyle w:val="54"/>
              <w:rPr>
                <w:rFonts w:hint="default"/>
                <w:color w:val="auto"/>
              </w:rPr>
            </w:pPr>
            <w:r>
              <w:rPr>
                <w:color w:val="auto"/>
              </w:rPr>
              <w:t>项目经理</w:t>
            </w:r>
          </w:p>
        </w:tc>
        <w:tc>
          <w:tcPr>
            <w:tcW w:w="7650" w:type="dxa"/>
            <w:tcBorders>
              <w:top w:val="single" w:color="auto" w:sz="4" w:space="0"/>
              <w:left w:val="nil"/>
              <w:bottom w:val="single" w:color="auto" w:sz="4" w:space="0"/>
              <w:right w:val="single" w:color="auto" w:sz="4" w:space="0"/>
              <w:tl2br w:val="nil"/>
              <w:tr2bl w:val="nil"/>
            </w:tcBorders>
          </w:tcPr>
          <w:p w14:paraId="0751CCD7">
            <w:pPr>
              <w:pStyle w:val="43"/>
              <w:ind w:firstLine="420"/>
              <w:rPr>
                <w:color w:val="auto"/>
              </w:rPr>
            </w:pPr>
            <w:r>
              <w:rPr>
                <w:rFonts w:hint="eastAsia"/>
                <w:color w:val="auto"/>
              </w:rPr>
              <w:t>主导过三个以上同类项目和具有五年以上项目经理工作经验，具有独当一面的技术能力；直接对项目的实施负责，通过对工期、成本、质量的控制（包括总体制定、执行、跟踪、调整相关计划，协调项目可用资源），确保项目按要求完成。</w:t>
            </w:r>
          </w:p>
        </w:tc>
      </w:tr>
      <w:tr w14:paraId="28F8C3D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l2br w:val="nil"/>
              <w:tr2bl w:val="nil"/>
            </w:tcBorders>
            <w:vAlign w:val="center"/>
          </w:tcPr>
          <w:p w14:paraId="7CBE4A34">
            <w:pPr>
              <w:pStyle w:val="54"/>
              <w:rPr>
                <w:rFonts w:hint="default"/>
                <w:color w:val="auto"/>
              </w:rPr>
            </w:pPr>
            <w:r>
              <w:rPr>
                <w:color w:val="auto"/>
              </w:rPr>
              <w:t>需求分析师</w:t>
            </w:r>
          </w:p>
        </w:tc>
        <w:tc>
          <w:tcPr>
            <w:tcW w:w="7650" w:type="dxa"/>
            <w:tcBorders>
              <w:top w:val="single" w:color="auto" w:sz="4" w:space="0"/>
              <w:left w:val="nil"/>
              <w:bottom w:val="single" w:color="auto" w:sz="4" w:space="0"/>
              <w:right w:val="single" w:color="auto" w:sz="4" w:space="0"/>
              <w:tl2br w:val="nil"/>
              <w:tr2bl w:val="nil"/>
            </w:tcBorders>
          </w:tcPr>
          <w:p w14:paraId="2B319A4A">
            <w:pPr>
              <w:pStyle w:val="43"/>
              <w:ind w:firstLine="420"/>
              <w:rPr>
                <w:color w:val="auto"/>
              </w:rPr>
            </w:pPr>
            <w:r>
              <w:rPr>
                <w:rFonts w:hint="eastAsia"/>
                <w:color w:val="auto"/>
              </w:rPr>
              <w:t>主导完成过三个以上同类项目的需求分析、设计，熟悉银行业务流程和相关法律法规，能够辅助采购人完成业务流程梳理、整合以及创新，善于表达，具有良好的沟通技巧和能力。</w:t>
            </w:r>
          </w:p>
        </w:tc>
      </w:tr>
      <w:tr w14:paraId="4FD41DA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l2br w:val="nil"/>
              <w:tr2bl w:val="nil"/>
            </w:tcBorders>
            <w:vAlign w:val="center"/>
          </w:tcPr>
          <w:p w14:paraId="6A7E5A29">
            <w:pPr>
              <w:pStyle w:val="54"/>
              <w:rPr>
                <w:rFonts w:hint="default"/>
                <w:color w:val="auto"/>
              </w:rPr>
            </w:pPr>
            <w:r>
              <w:rPr>
                <w:color w:val="auto"/>
              </w:rPr>
              <w:t>系统架构师</w:t>
            </w:r>
          </w:p>
        </w:tc>
        <w:tc>
          <w:tcPr>
            <w:tcW w:w="7650" w:type="dxa"/>
            <w:tcBorders>
              <w:top w:val="single" w:color="auto" w:sz="4" w:space="0"/>
              <w:left w:val="nil"/>
              <w:bottom w:val="single" w:color="auto" w:sz="4" w:space="0"/>
              <w:right w:val="single" w:color="auto" w:sz="4" w:space="0"/>
              <w:tl2br w:val="nil"/>
              <w:tr2bl w:val="nil"/>
            </w:tcBorders>
          </w:tcPr>
          <w:p w14:paraId="0C55BA2E">
            <w:pPr>
              <w:pStyle w:val="43"/>
              <w:ind w:firstLine="420"/>
              <w:rPr>
                <w:color w:val="auto"/>
              </w:rPr>
            </w:pPr>
            <w:r>
              <w:rPr>
                <w:rFonts w:hint="eastAsia"/>
                <w:color w:val="auto"/>
              </w:rPr>
              <w:t>主导过三个以上同类项目和五年以上相关工作经历，并且熟悉</w:t>
            </w:r>
            <w:r>
              <w:rPr>
                <w:color w:val="auto"/>
              </w:rPr>
              <w:t>SOA</w:t>
            </w:r>
            <w:r>
              <w:rPr>
                <w:rFonts w:hint="eastAsia"/>
                <w:color w:val="auto"/>
              </w:rPr>
              <w:t>、分布式架构以及主流开发框架。</w:t>
            </w:r>
          </w:p>
        </w:tc>
      </w:tr>
      <w:tr w14:paraId="050F3CA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l2br w:val="nil"/>
              <w:tr2bl w:val="nil"/>
            </w:tcBorders>
            <w:vAlign w:val="center"/>
          </w:tcPr>
          <w:p w14:paraId="17833AB6">
            <w:pPr>
              <w:pStyle w:val="54"/>
              <w:rPr>
                <w:rFonts w:hint="default"/>
                <w:color w:val="auto"/>
              </w:rPr>
            </w:pPr>
            <w:r>
              <w:rPr>
                <w:color w:val="auto"/>
              </w:rPr>
              <w:t>项目组开发人员</w:t>
            </w:r>
          </w:p>
        </w:tc>
        <w:tc>
          <w:tcPr>
            <w:tcW w:w="7650" w:type="dxa"/>
            <w:tcBorders>
              <w:top w:val="single" w:color="auto" w:sz="4" w:space="0"/>
              <w:left w:val="nil"/>
              <w:bottom w:val="single" w:color="auto" w:sz="4" w:space="0"/>
              <w:right w:val="single" w:color="auto" w:sz="4" w:space="0"/>
              <w:tl2br w:val="nil"/>
              <w:tr2bl w:val="nil"/>
            </w:tcBorders>
          </w:tcPr>
          <w:p w14:paraId="207008D3">
            <w:pPr>
              <w:pStyle w:val="43"/>
              <w:ind w:firstLine="420"/>
              <w:rPr>
                <w:color w:val="auto"/>
              </w:rPr>
            </w:pPr>
            <w:r>
              <w:rPr>
                <w:rFonts w:hint="eastAsia"/>
                <w:color w:val="auto"/>
              </w:rPr>
              <w:t>至少三年开发经验，开发组长须有至少五年开发经验，且均有银行相关系统的项目实施经历。</w:t>
            </w:r>
          </w:p>
        </w:tc>
      </w:tr>
      <w:tr w14:paraId="3A38CD2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jc w:val="center"/>
        </w:trPr>
        <w:tc>
          <w:tcPr>
            <w:tcW w:w="1680" w:type="dxa"/>
            <w:tcBorders>
              <w:top w:val="single" w:color="auto" w:sz="4" w:space="0"/>
              <w:left w:val="single" w:color="auto" w:sz="4" w:space="0"/>
              <w:bottom w:val="single" w:color="auto" w:sz="4" w:space="0"/>
              <w:right w:val="single" w:color="auto" w:sz="4" w:space="0"/>
              <w:tl2br w:val="nil"/>
              <w:tr2bl w:val="nil"/>
            </w:tcBorders>
            <w:vAlign w:val="center"/>
          </w:tcPr>
          <w:p w14:paraId="34979144">
            <w:pPr>
              <w:pStyle w:val="54"/>
              <w:rPr>
                <w:rFonts w:hint="default"/>
                <w:color w:val="auto"/>
              </w:rPr>
            </w:pPr>
            <w:r>
              <w:rPr>
                <w:color w:val="auto"/>
              </w:rPr>
              <w:t>项目组测试人员</w:t>
            </w:r>
          </w:p>
        </w:tc>
        <w:tc>
          <w:tcPr>
            <w:tcW w:w="7650" w:type="dxa"/>
            <w:tcBorders>
              <w:top w:val="single" w:color="auto" w:sz="4" w:space="0"/>
              <w:left w:val="nil"/>
              <w:bottom w:val="single" w:color="auto" w:sz="4" w:space="0"/>
              <w:right w:val="single" w:color="auto" w:sz="4" w:space="0"/>
              <w:tl2br w:val="nil"/>
              <w:tr2bl w:val="nil"/>
            </w:tcBorders>
          </w:tcPr>
          <w:p w14:paraId="35AC9E11">
            <w:pPr>
              <w:pStyle w:val="43"/>
              <w:ind w:firstLine="420"/>
              <w:rPr>
                <w:color w:val="auto"/>
              </w:rPr>
            </w:pPr>
            <w:r>
              <w:rPr>
                <w:rFonts w:hint="eastAsia"/>
                <w:color w:val="auto"/>
              </w:rPr>
              <w:t>具有两年以上银行相关系统测试经验，项目测试经理主导完成过二个以上同类项目的系统测试工作，且具有三年以上银行相关系统测试经验。</w:t>
            </w:r>
          </w:p>
        </w:tc>
      </w:tr>
    </w:tbl>
    <w:p w14:paraId="3022A530">
      <w:pPr>
        <w:ind w:firstLine="420"/>
        <w:rPr>
          <w:color w:val="auto"/>
        </w:rPr>
      </w:pPr>
      <w:r>
        <w:rPr>
          <w:color w:val="auto"/>
        </w:rPr>
        <w:t>3</w:t>
      </w:r>
      <w:r>
        <w:rPr>
          <w:rFonts w:hint="eastAsia"/>
          <w:color w:val="auto"/>
        </w:rPr>
        <w:t>）采购人将对所提供的人员进行审核，达不到采购人要求的将要求替换。项目经理及骨干成员须参加采购人组织的面试，面试人员在合同签订时不得进行更换。</w:t>
      </w:r>
    </w:p>
    <w:p w14:paraId="3C27E460">
      <w:pPr>
        <w:ind w:firstLine="420"/>
        <w:rPr>
          <w:color w:val="auto"/>
        </w:rPr>
      </w:pPr>
      <w:r>
        <w:rPr>
          <w:color w:val="auto"/>
        </w:rPr>
        <w:t>4</w:t>
      </w:r>
      <w:r>
        <w:rPr>
          <w:rFonts w:hint="eastAsia"/>
          <w:color w:val="auto"/>
        </w:rPr>
        <w:t>）项目组成员若有违约违规行为将由响应人承担责任。</w:t>
      </w:r>
    </w:p>
    <w:p w14:paraId="61710AB8">
      <w:pPr>
        <w:pStyle w:val="3"/>
        <w:rPr>
          <w:color w:val="auto"/>
        </w:rPr>
      </w:pPr>
      <w:bookmarkStart w:id="1021" w:name="_Toc15059418"/>
      <w:bookmarkStart w:id="1022" w:name="_Toc89675144"/>
      <w:r>
        <w:rPr>
          <w:color w:val="auto"/>
        </w:rPr>
        <w:t>5.</w:t>
      </w:r>
      <w:r>
        <w:rPr>
          <w:rFonts w:hint="eastAsia"/>
          <w:color w:val="auto"/>
        </w:rPr>
        <w:t>项目实施要求</w:t>
      </w:r>
    </w:p>
    <w:p w14:paraId="48B51880">
      <w:pPr>
        <w:ind w:firstLine="420"/>
        <w:rPr>
          <w:color w:val="auto"/>
        </w:rPr>
      </w:pPr>
      <w:r>
        <w:rPr>
          <w:rFonts w:hint="eastAsia"/>
          <w:color w:val="auto"/>
        </w:rPr>
        <w:t>在本项目实施周期内，如遇到原系统功能与需求不符，需要及时调整实施方案，满足采购人的要求，并征得采购人同意方可变更。</w:t>
      </w:r>
    </w:p>
    <w:p w14:paraId="6679B04D">
      <w:pPr>
        <w:ind w:firstLine="420"/>
        <w:rPr>
          <w:color w:val="auto"/>
        </w:rPr>
      </w:pPr>
      <w:r>
        <w:rPr>
          <w:rFonts w:hint="eastAsia"/>
          <w:color w:val="auto"/>
        </w:rPr>
        <w:t>响应人在项目实施过程中，需按照采购人项目管理规范提供相应文档（所有提交文档必须为中文）。</w:t>
      </w:r>
    </w:p>
    <w:p w14:paraId="656D76F3">
      <w:pPr>
        <w:ind w:firstLine="420"/>
        <w:rPr>
          <w:color w:val="auto"/>
        </w:rPr>
      </w:pPr>
      <w:r>
        <w:rPr>
          <w:rFonts w:hint="eastAsia"/>
          <w:color w:val="auto"/>
        </w:rPr>
        <w:t>本项目为现场开发，原则上不允许远程开发模式，除非得到采购人的明确认可和授权。</w:t>
      </w:r>
    </w:p>
    <w:p w14:paraId="33794795">
      <w:pPr>
        <w:pStyle w:val="3"/>
        <w:rPr>
          <w:color w:val="auto"/>
        </w:rPr>
      </w:pPr>
      <w:r>
        <w:rPr>
          <w:color w:val="auto"/>
        </w:rPr>
        <w:t>6.</w:t>
      </w:r>
      <w:r>
        <w:rPr>
          <w:rFonts w:hint="eastAsia"/>
          <w:color w:val="auto"/>
        </w:rPr>
        <w:t>项目源代码要求</w:t>
      </w:r>
    </w:p>
    <w:p w14:paraId="4EBBE9E8">
      <w:pPr>
        <w:ind w:firstLine="420"/>
        <w:rPr>
          <w:color w:val="auto"/>
        </w:rPr>
      </w:pPr>
      <w:r>
        <w:rPr>
          <w:rFonts w:hint="eastAsia"/>
          <w:color w:val="auto"/>
        </w:rPr>
        <w:t>本项目的所有源代码，包括产品源代码、客户化源代码、系统平台源代码及第三方产品源代码，底层架构和通讯层的源代码，代码解析平台（若有）及源代码说明文档、源代码注释说明、基线版本号等相关内容，除确实无法获取源代码的第三方产品外，响应人应进行无保留的知识转移。客户化源代码的知识产权归采购人单独所有，其余部分</w:t>
      </w:r>
      <w:r>
        <w:rPr>
          <w:color w:val="auto"/>
        </w:rPr>
        <w:t>归双方共有</w:t>
      </w:r>
      <w:r>
        <w:rPr>
          <w:rFonts w:hint="eastAsia"/>
          <w:color w:val="auto"/>
        </w:rPr>
        <w:t>。针对共有部分，采购人拥有在采购人及其分支机构使用及后续开发的权利，响应人拥有在其公司和其他组织范围内使用的权利，但响应人使用时不得侵犯采购人利益。</w:t>
      </w:r>
    </w:p>
    <w:p w14:paraId="1A094DC3">
      <w:pPr>
        <w:pStyle w:val="3"/>
        <w:rPr>
          <w:color w:val="auto"/>
        </w:rPr>
      </w:pPr>
      <w:r>
        <w:rPr>
          <w:color w:val="auto"/>
        </w:rPr>
        <w:t>7.</w:t>
      </w:r>
      <w:r>
        <w:rPr>
          <w:rFonts w:hint="eastAsia"/>
          <w:color w:val="auto"/>
        </w:rPr>
        <w:t>交付周期、地点</w:t>
      </w:r>
      <w:bookmarkEnd w:id="1021"/>
      <w:bookmarkEnd w:id="1022"/>
    </w:p>
    <w:p w14:paraId="71F8FB91">
      <w:pPr>
        <w:pStyle w:val="4"/>
        <w:ind w:firstLine="422"/>
        <w:rPr>
          <w:color w:val="auto"/>
        </w:rPr>
      </w:pPr>
      <w:bookmarkStart w:id="1023" w:name="_Toc89675146"/>
      <w:bookmarkStart w:id="1024" w:name="_Toc15059420"/>
      <w:bookmarkStart w:id="1025" w:name="_Toc387826347"/>
      <w:bookmarkStart w:id="1026" w:name="_Toc1125"/>
      <w:bookmarkStart w:id="1027" w:name="_Toc432254881"/>
      <w:bookmarkStart w:id="1028" w:name="_Toc440628915"/>
      <w:r>
        <w:rPr>
          <w:color w:val="auto"/>
        </w:rPr>
        <w:t>7</w:t>
      </w:r>
      <w:r>
        <w:rPr>
          <w:rFonts w:hint="eastAsia"/>
          <w:color w:val="auto"/>
        </w:rPr>
        <w:t>.1 交付时间</w:t>
      </w:r>
    </w:p>
    <w:p w14:paraId="77D7DFAF">
      <w:pPr>
        <w:ind w:firstLine="420"/>
        <w:rPr>
          <w:color w:val="auto"/>
        </w:rPr>
      </w:pPr>
      <w:r>
        <w:rPr>
          <w:rFonts w:hint="eastAsia"/>
          <w:color w:val="auto"/>
        </w:rPr>
        <w:t>以项目合同为准</w:t>
      </w:r>
    </w:p>
    <w:p w14:paraId="2FAD4013">
      <w:pPr>
        <w:pStyle w:val="4"/>
        <w:ind w:firstLine="422"/>
        <w:rPr>
          <w:color w:val="auto"/>
        </w:rPr>
      </w:pPr>
      <w:r>
        <w:rPr>
          <w:color w:val="auto"/>
        </w:rPr>
        <w:t>7</w:t>
      </w:r>
      <w:r>
        <w:rPr>
          <w:rFonts w:hint="eastAsia"/>
          <w:color w:val="auto"/>
        </w:rPr>
        <w:t>.2 实施及交付地点</w:t>
      </w:r>
    </w:p>
    <w:p w14:paraId="247FEA5A">
      <w:pPr>
        <w:ind w:firstLine="420"/>
        <w:rPr>
          <w:color w:val="auto"/>
        </w:rPr>
      </w:pPr>
      <w:r>
        <w:rPr>
          <w:rFonts w:hint="eastAsia"/>
          <w:color w:val="auto"/>
        </w:rPr>
        <w:t>重庆市。</w:t>
      </w:r>
    </w:p>
    <w:p w14:paraId="5A4E432E">
      <w:pPr>
        <w:pStyle w:val="3"/>
        <w:rPr>
          <w:color w:val="auto"/>
        </w:rPr>
      </w:pPr>
      <w:r>
        <w:rPr>
          <w:color w:val="auto"/>
        </w:rPr>
        <w:t>8.</w:t>
      </w:r>
      <w:r>
        <w:rPr>
          <w:rFonts w:hint="eastAsia"/>
          <w:color w:val="auto"/>
        </w:rPr>
        <w:t>验收测试</w:t>
      </w:r>
    </w:p>
    <w:p w14:paraId="0774164E">
      <w:pPr>
        <w:pStyle w:val="4"/>
        <w:ind w:firstLine="422"/>
        <w:rPr>
          <w:color w:val="auto"/>
        </w:rPr>
      </w:pPr>
      <w:r>
        <w:rPr>
          <w:color w:val="auto"/>
        </w:rPr>
        <w:t xml:space="preserve">8.1 </w:t>
      </w:r>
      <w:r>
        <w:rPr>
          <w:rFonts w:hint="eastAsia"/>
          <w:color w:val="auto"/>
        </w:rPr>
        <w:t>验收测试的范围</w:t>
      </w:r>
    </w:p>
    <w:p w14:paraId="0B88529B">
      <w:pPr>
        <w:ind w:firstLine="420"/>
        <w:rPr>
          <w:color w:val="auto"/>
        </w:rPr>
      </w:pPr>
      <w:r>
        <w:rPr>
          <w:rFonts w:hint="eastAsia"/>
          <w:color w:val="auto"/>
        </w:rPr>
        <w:t>验收测试的范围为项目实施完毕，上线前最终确认的所有需求。</w:t>
      </w:r>
    </w:p>
    <w:p w14:paraId="07D5B47E">
      <w:pPr>
        <w:pStyle w:val="4"/>
        <w:ind w:firstLine="422"/>
        <w:rPr>
          <w:color w:val="auto"/>
        </w:rPr>
      </w:pPr>
      <w:r>
        <w:rPr>
          <w:color w:val="auto"/>
        </w:rPr>
        <w:t xml:space="preserve">8.2 </w:t>
      </w:r>
      <w:r>
        <w:rPr>
          <w:rFonts w:hint="eastAsia"/>
          <w:color w:val="auto"/>
        </w:rPr>
        <w:t>验收测试的组织</w:t>
      </w:r>
    </w:p>
    <w:p w14:paraId="2C79F162">
      <w:pPr>
        <w:ind w:firstLine="420"/>
        <w:rPr>
          <w:color w:val="auto"/>
        </w:rPr>
      </w:pPr>
      <w:r>
        <w:rPr>
          <w:color w:val="auto"/>
        </w:rPr>
        <w:t>1</w:t>
      </w:r>
      <w:r>
        <w:rPr>
          <w:rFonts w:hint="eastAsia"/>
          <w:color w:val="auto"/>
        </w:rPr>
        <w:t>）验收测试小组由采购人、成交供应商等有关人员组成，负责对项目建设进行验收测试。</w:t>
      </w:r>
    </w:p>
    <w:p w14:paraId="5D2E0B80">
      <w:pPr>
        <w:ind w:firstLine="420"/>
        <w:rPr>
          <w:color w:val="auto"/>
        </w:rPr>
      </w:pPr>
      <w:r>
        <w:rPr>
          <w:color w:val="auto"/>
        </w:rPr>
        <w:t>2</w:t>
      </w:r>
      <w:r>
        <w:rPr>
          <w:rFonts w:hint="eastAsia"/>
          <w:color w:val="auto"/>
        </w:rPr>
        <w:t>）成交供应商编制测试手册，经验收小组确认后，由验收小组负责验收测试。</w:t>
      </w:r>
    </w:p>
    <w:p w14:paraId="4A7C119B">
      <w:pPr>
        <w:ind w:firstLine="420"/>
        <w:rPr>
          <w:color w:val="auto"/>
        </w:rPr>
      </w:pPr>
      <w:r>
        <w:rPr>
          <w:color w:val="auto"/>
        </w:rPr>
        <w:t>3</w:t>
      </w:r>
      <w:r>
        <w:rPr>
          <w:rFonts w:hint="eastAsia"/>
          <w:color w:val="auto"/>
        </w:rPr>
        <w:t>）在验收测试过程中，出现严重缺陷或质量问题时，验收小组可以决定暂停所有测试，直至缺陷和问题得到纠正。</w:t>
      </w:r>
    </w:p>
    <w:p w14:paraId="14BC3490">
      <w:pPr>
        <w:pStyle w:val="4"/>
        <w:ind w:firstLine="422"/>
        <w:rPr>
          <w:color w:val="auto"/>
        </w:rPr>
      </w:pPr>
      <w:r>
        <w:rPr>
          <w:color w:val="auto"/>
        </w:rPr>
        <w:t xml:space="preserve">8.3 </w:t>
      </w:r>
      <w:r>
        <w:rPr>
          <w:rFonts w:hint="eastAsia"/>
          <w:color w:val="auto"/>
        </w:rPr>
        <w:t>验收测试的程序</w:t>
      </w:r>
    </w:p>
    <w:p w14:paraId="13393635">
      <w:pPr>
        <w:ind w:firstLine="420"/>
        <w:rPr>
          <w:color w:val="auto"/>
        </w:rPr>
      </w:pPr>
      <w:r>
        <w:rPr>
          <w:color w:val="auto"/>
        </w:rPr>
        <w:t>1</w:t>
      </w:r>
      <w:r>
        <w:rPr>
          <w:rFonts w:hint="eastAsia"/>
          <w:color w:val="auto"/>
        </w:rPr>
        <w:t>）对各功能模块进行测试；</w:t>
      </w:r>
    </w:p>
    <w:p w14:paraId="14E14415">
      <w:pPr>
        <w:ind w:firstLine="420"/>
        <w:rPr>
          <w:color w:val="auto"/>
        </w:rPr>
      </w:pPr>
      <w:r>
        <w:rPr>
          <w:color w:val="auto"/>
        </w:rPr>
        <w:t>2</w:t>
      </w:r>
      <w:r>
        <w:rPr>
          <w:rFonts w:hint="eastAsia"/>
          <w:color w:val="auto"/>
        </w:rPr>
        <w:t>）在各功能模块测试合格的前提下，对系统进行全面初验；</w:t>
      </w:r>
    </w:p>
    <w:p w14:paraId="20FD8F48">
      <w:pPr>
        <w:ind w:firstLine="420"/>
        <w:rPr>
          <w:color w:val="auto"/>
        </w:rPr>
      </w:pPr>
      <w:r>
        <w:rPr>
          <w:color w:val="auto"/>
        </w:rPr>
        <w:t>3</w:t>
      </w:r>
      <w:r>
        <w:rPr>
          <w:rFonts w:hint="eastAsia"/>
          <w:color w:val="auto"/>
        </w:rPr>
        <w:t>）系统验收测试合格后，进入试运行阶段；</w:t>
      </w:r>
    </w:p>
    <w:p w14:paraId="3A6E72BB">
      <w:pPr>
        <w:ind w:firstLine="420"/>
        <w:rPr>
          <w:color w:val="auto"/>
        </w:rPr>
      </w:pPr>
      <w:r>
        <w:rPr>
          <w:color w:val="auto"/>
        </w:rPr>
        <w:t>4</w:t>
      </w:r>
      <w:r>
        <w:rPr>
          <w:rFonts w:hint="eastAsia"/>
          <w:color w:val="auto"/>
        </w:rPr>
        <w:t>）系统在全行上线运行三个月后，进行验收。</w:t>
      </w:r>
    </w:p>
    <w:p w14:paraId="3A3444E7">
      <w:pPr>
        <w:pStyle w:val="4"/>
        <w:ind w:firstLine="422"/>
        <w:rPr>
          <w:color w:val="auto"/>
        </w:rPr>
      </w:pPr>
      <w:r>
        <w:rPr>
          <w:color w:val="auto"/>
        </w:rPr>
        <w:t xml:space="preserve">8.4 </w:t>
      </w:r>
      <w:r>
        <w:rPr>
          <w:rFonts w:hint="eastAsia"/>
          <w:color w:val="auto"/>
        </w:rPr>
        <w:t>验收测试的评定</w:t>
      </w:r>
    </w:p>
    <w:p w14:paraId="02442B03">
      <w:pPr>
        <w:ind w:firstLine="420"/>
        <w:rPr>
          <w:color w:val="auto"/>
        </w:rPr>
      </w:pPr>
      <w:r>
        <w:rPr>
          <w:rFonts w:hint="eastAsia"/>
          <w:color w:val="auto"/>
        </w:rPr>
        <w:t>测试结果按下列级别评定，并经验收小组签字认可：</w:t>
      </w:r>
    </w:p>
    <w:p w14:paraId="0C32C472">
      <w:pPr>
        <w:ind w:firstLine="420"/>
        <w:rPr>
          <w:color w:val="auto"/>
        </w:rPr>
      </w:pPr>
      <w:r>
        <w:rPr>
          <w:rFonts w:hint="eastAsia"/>
          <w:color w:val="auto"/>
        </w:rPr>
        <w:t>•优良：功能和质量达到预期目的。</w:t>
      </w:r>
    </w:p>
    <w:p w14:paraId="12A6FF4B">
      <w:pPr>
        <w:ind w:firstLine="420"/>
        <w:rPr>
          <w:color w:val="auto"/>
        </w:rPr>
      </w:pPr>
      <w:r>
        <w:rPr>
          <w:rFonts w:hint="eastAsia"/>
          <w:color w:val="auto"/>
        </w:rPr>
        <w:t>•合格：部分功能和质量不能满足采购人的要求，但成交供应商（集成商）采取了改正措施，使测试结果达到预期目的。</w:t>
      </w:r>
    </w:p>
    <w:p w14:paraId="2B9C9B5B">
      <w:pPr>
        <w:ind w:firstLine="420"/>
        <w:rPr>
          <w:color w:val="auto"/>
        </w:rPr>
      </w:pPr>
      <w:r>
        <w:rPr>
          <w:rFonts w:hint="eastAsia"/>
          <w:color w:val="auto"/>
        </w:rPr>
        <w:t>•不合格：功能和质量不能满足采购人的要求。</w:t>
      </w:r>
    </w:p>
    <w:p w14:paraId="3200C8B7">
      <w:pPr>
        <w:pStyle w:val="3"/>
        <w:rPr>
          <w:color w:val="auto"/>
        </w:rPr>
      </w:pPr>
      <w:r>
        <w:rPr>
          <w:color w:val="auto"/>
        </w:rPr>
        <w:t>9.</w:t>
      </w:r>
      <w:r>
        <w:rPr>
          <w:rFonts w:hint="eastAsia"/>
          <w:color w:val="auto"/>
        </w:rPr>
        <w:t>售后服务和支持</w:t>
      </w:r>
    </w:p>
    <w:p w14:paraId="6320DDB9">
      <w:pPr>
        <w:ind w:firstLine="420"/>
        <w:rPr>
          <w:color w:val="auto"/>
        </w:rPr>
      </w:pPr>
      <w:r>
        <w:rPr>
          <w:rFonts w:hint="eastAsia"/>
          <w:color w:val="auto"/>
        </w:rPr>
        <w:t>服务和支持的范围：</w:t>
      </w:r>
    </w:p>
    <w:p w14:paraId="7EE6DE1A">
      <w:pPr>
        <w:ind w:firstLine="420"/>
        <w:rPr>
          <w:color w:val="auto"/>
        </w:rPr>
      </w:pPr>
      <w:r>
        <w:rPr>
          <w:rFonts w:hint="eastAsia"/>
          <w:color w:val="auto"/>
        </w:rPr>
        <w:t>•系统的安装、部署和调试；</w:t>
      </w:r>
    </w:p>
    <w:p w14:paraId="79E39682">
      <w:pPr>
        <w:ind w:firstLine="420"/>
        <w:rPr>
          <w:color w:val="auto"/>
        </w:rPr>
      </w:pPr>
      <w:r>
        <w:rPr>
          <w:rFonts w:hint="eastAsia"/>
          <w:color w:val="auto"/>
        </w:rPr>
        <w:t>•项目的验收测试；</w:t>
      </w:r>
    </w:p>
    <w:p w14:paraId="2B11FE3A">
      <w:pPr>
        <w:ind w:firstLine="420"/>
        <w:rPr>
          <w:color w:val="auto"/>
        </w:rPr>
      </w:pPr>
      <w:r>
        <w:rPr>
          <w:rFonts w:hint="eastAsia"/>
          <w:color w:val="auto"/>
        </w:rPr>
        <w:t>•项目的数据转换、数据迁移、模拟运行和试运行；</w:t>
      </w:r>
    </w:p>
    <w:p w14:paraId="6C52BA6E">
      <w:pPr>
        <w:ind w:firstLine="420"/>
        <w:rPr>
          <w:color w:val="auto"/>
        </w:rPr>
      </w:pPr>
      <w:r>
        <w:rPr>
          <w:rFonts w:hint="eastAsia"/>
          <w:color w:val="auto"/>
        </w:rPr>
        <w:t>•与系统运行有关的技术问题（含操作系统、数据库、应用系统的整体性能调优等）</w:t>
      </w:r>
    </w:p>
    <w:p w14:paraId="3CC6F31D">
      <w:pPr>
        <w:ind w:firstLine="420"/>
        <w:rPr>
          <w:color w:val="auto"/>
        </w:rPr>
      </w:pPr>
      <w:r>
        <w:rPr>
          <w:rFonts w:hint="eastAsia"/>
          <w:color w:val="auto"/>
        </w:rPr>
        <w:t>•项目上线后两年内，针对本项目的完善性需求以及监管提出的安全性需求，成交供应商需免费进行开发。</w:t>
      </w:r>
    </w:p>
    <w:p w14:paraId="376981C4">
      <w:pPr>
        <w:ind w:firstLine="420"/>
        <w:rPr>
          <w:color w:val="auto"/>
        </w:rPr>
      </w:pPr>
      <w:r>
        <w:rPr>
          <w:rFonts w:hint="eastAsia"/>
          <w:color w:val="auto"/>
        </w:rPr>
        <w:t>•相关技术及业务培训（其中在项目实施前必须组织技术人员进行平台二次开发培训，并提供平台的所有技术文档等）</w:t>
      </w:r>
    </w:p>
    <w:p w14:paraId="65A41B0F">
      <w:pPr>
        <w:ind w:firstLine="420"/>
        <w:rPr>
          <w:color w:val="auto"/>
        </w:rPr>
      </w:pPr>
      <w:r>
        <w:rPr>
          <w:rFonts w:hint="eastAsia"/>
          <w:color w:val="auto"/>
        </w:rPr>
        <w:t>•维保期以年度计算，应至少提供2年维保，维保期起始日为验收后次日，维保期结束日需延期至到期当年的</w:t>
      </w:r>
      <w:r>
        <w:rPr>
          <w:color w:val="auto"/>
        </w:rPr>
        <w:t>6</w:t>
      </w:r>
      <w:r>
        <w:rPr>
          <w:rFonts w:hint="eastAsia"/>
          <w:color w:val="auto"/>
        </w:rPr>
        <w:t>月</w:t>
      </w:r>
      <w:r>
        <w:rPr>
          <w:color w:val="auto"/>
        </w:rPr>
        <w:t>30</w:t>
      </w:r>
      <w:r>
        <w:rPr>
          <w:rFonts w:hint="eastAsia"/>
          <w:color w:val="auto"/>
        </w:rPr>
        <w:t>日或</w:t>
      </w:r>
      <w:r>
        <w:rPr>
          <w:color w:val="auto"/>
        </w:rPr>
        <w:t>12</w:t>
      </w:r>
      <w:r>
        <w:rPr>
          <w:rFonts w:hint="eastAsia"/>
          <w:color w:val="auto"/>
        </w:rPr>
        <w:t>月</w:t>
      </w:r>
      <w:r>
        <w:rPr>
          <w:color w:val="auto"/>
        </w:rPr>
        <w:t>31</w:t>
      </w:r>
      <w:r>
        <w:rPr>
          <w:rFonts w:hint="eastAsia"/>
          <w:color w:val="auto"/>
        </w:rPr>
        <w:t>日中较近日期（即维保延期最长不超过半年）。</w:t>
      </w:r>
    </w:p>
    <w:p w14:paraId="63AF0D00">
      <w:pPr>
        <w:ind w:firstLine="420"/>
        <w:rPr>
          <w:color w:val="auto"/>
        </w:rPr>
      </w:pPr>
      <w:r>
        <w:rPr>
          <w:rFonts w:hint="eastAsia"/>
          <w:color w:val="auto"/>
        </w:rPr>
        <w:t>•响应人在响应文件中详细说明在系统维保期的具体服务内容，系统维保期过后有偿维保的内容、价格及收取方式，若按开发量评估收取，应说明每人</w:t>
      </w:r>
      <w:r>
        <w:rPr>
          <w:color w:val="auto"/>
        </w:rPr>
        <w:t>/</w:t>
      </w:r>
      <w:r>
        <w:rPr>
          <w:rFonts w:hint="eastAsia"/>
          <w:color w:val="auto"/>
        </w:rPr>
        <w:t>月价格；</w:t>
      </w:r>
    </w:p>
    <w:p w14:paraId="0FA43F67">
      <w:pPr>
        <w:pStyle w:val="3"/>
        <w:rPr>
          <w:color w:val="auto"/>
        </w:rPr>
      </w:pPr>
      <w:r>
        <w:rPr>
          <w:color w:val="auto"/>
        </w:rPr>
        <w:t>10.</w:t>
      </w:r>
      <w:r>
        <w:rPr>
          <w:rFonts w:hint="eastAsia"/>
          <w:color w:val="auto"/>
        </w:rPr>
        <w:t>系统维保费用</w:t>
      </w:r>
    </w:p>
    <w:p w14:paraId="2B211867">
      <w:pPr>
        <w:ind w:firstLine="420"/>
        <w:rPr>
          <w:color w:val="auto"/>
        </w:rPr>
      </w:pPr>
      <w:r>
        <w:rPr>
          <w:rFonts w:hint="eastAsia"/>
          <w:color w:val="auto"/>
        </w:rPr>
        <w:t>维护期满后，每年维护费用不高于合同价</w:t>
      </w:r>
      <w:r>
        <w:rPr>
          <w:color w:val="auto"/>
        </w:rPr>
        <w:t>8%</w:t>
      </w:r>
      <w:r>
        <w:rPr>
          <w:rFonts w:hint="eastAsia"/>
          <w:color w:val="auto"/>
        </w:rPr>
        <w:t>，具体维保费用以合同约定为准。</w:t>
      </w:r>
    </w:p>
    <w:p w14:paraId="2FB1F3EC">
      <w:pPr>
        <w:pStyle w:val="3"/>
        <w:rPr>
          <w:color w:val="auto"/>
        </w:rPr>
      </w:pPr>
      <w:r>
        <w:rPr>
          <w:color w:val="auto"/>
        </w:rPr>
        <w:t>11.</w:t>
      </w:r>
      <w:r>
        <w:rPr>
          <w:rFonts w:hint="eastAsia"/>
          <w:color w:val="auto"/>
        </w:rPr>
        <w:t>文档和培训</w:t>
      </w:r>
    </w:p>
    <w:p w14:paraId="58E769AB">
      <w:pPr>
        <w:pStyle w:val="4"/>
        <w:ind w:firstLine="422"/>
        <w:rPr>
          <w:color w:val="auto"/>
        </w:rPr>
      </w:pPr>
      <w:r>
        <w:rPr>
          <w:rFonts w:hint="eastAsia"/>
          <w:color w:val="auto"/>
        </w:rPr>
        <w:t>1</w:t>
      </w:r>
      <w:r>
        <w:rPr>
          <w:color w:val="auto"/>
        </w:rPr>
        <w:t xml:space="preserve">1.1 </w:t>
      </w:r>
      <w:r>
        <w:rPr>
          <w:rFonts w:hint="eastAsia"/>
          <w:color w:val="auto"/>
        </w:rPr>
        <w:t>文档</w:t>
      </w:r>
    </w:p>
    <w:p w14:paraId="40CDA328">
      <w:pPr>
        <w:ind w:firstLine="420"/>
        <w:rPr>
          <w:color w:val="auto"/>
        </w:rPr>
      </w:pPr>
      <w:r>
        <w:rPr>
          <w:rFonts w:hint="eastAsia"/>
          <w:color w:val="auto"/>
        </w:rPr>
        <w:t>1）文档范围</w:t>
      </w:r>
    </w:p>
    <w:p w14:paraId="2BF90DCC">
      <w:pPr>
        <w:ind w:firstLine="420"/>
        <w:rPr>
          <w:color w:val="auto"/>
        </w:rPr>
      </w:pPr>
      <w:r>
        <w:rPr>
          <w:rFonts w:hint="eastAsia"/>
          <w:color w:val="auto"/>
        </w:rPr>
        <w:t>包括成交供应商收集整理的系统建设中所形成的全部文字记载、录音和照片等，项目验收后由成交供应商向采购人提供。</w:t>
      </w:r>
    </w:p>
    <w:p w14:paraId="0C9323E7">
      <w:pPr>
        <w:ind w:firstLine="420"/>
        <w:rPr>
          <w:color w:val="auto"/>
        </w:rPr>
      </w:pPr>
      <w:r>
        <w:rPr>
          <w:rFonts w:hint="eastAsia"/>
          <w:color w:val="auto"/>
        </w:rPr>
        <w:t>2）文档内容</w:t>
      </w:r>
    </w:p>
    <w:p w14:paraId="03D511C4">
      <w:pPr>
        <w:ind w:firstLine="420"/>
        <w:rPr>
          <w:color w:val="auto"/>
        </w:rPr>
      </w:pPr>
      <w:r>
        <w:rPr>
          <w:rFonts w:hint="eastAsia"/>
          <w:color w:val="auto"/>
        </w:rPr>
        <w:t>响应文件；系统总体规划书；系统需求说明书；系统详细设计说明书；系统源码；系统数据库设计说明书；系统使用和操作说明书；</w:t>
      </w:r>
      <w:r>
        <w:rPr>
          <w:color w:val="auto"/>
        </w:rPr>
        <w:t>系统概要设计说明书；系统安装部署手册；系统运行维护手册；用户操作手册；试运行报告；验收报告；数据迁移方案；软件兼容性方案；系统测试计划；系统测试报告；性能测试报告；安全测试报告；</w:t>
      </w:r>
      <w:r>
        <w:rPr>
          <w:rFonts w:hint="eastAsia"/>
          <w:color w:val="auto"/>
        </w:rPr>
        <w:t>系统（含子系统）测试案例、验收方案；系统（含子系统）测试、验收报告；系统建设的详细工程日志；系统运行质量评估报告；系统变更和补充的相关文件、协议、录音、照片等。</w:t>
      </w:r>
    </w:p>
    <w:p w14:paraId="20172C33">
      <w:pPr>
        <w:ind w:firstLine="420"/>
        <w:rPr>
          <w:color w:val="auto"/>
        </w:rPr>
      </w:pPr>
      <w:r>
        <w:rPr>
          <w:rFonts w:hint="eastAsia"/>
          <w:color w:val="auto"/>
        </w:rPr>
        <w:t xml:space="preserve">3）要求 </w:t>
      </w:r>
    </w:p>
    <w:p w14:paraId="34076982">
      <w:pPr>
        <w:ind w:firstLine="420"/>
        <w:rPr>
          <w:color w:val="auto"/>
        </w:rPr>
      </w:pPr>
      <w:r>
        <w:rPr>
          <w:rFonts w:hint="eastAsia"/>
          <w:color w:val="auto"/>
        </w:rPr>
        <w:t>响应人提供的文档要保持完整性和准确性。所有文档都采用简体中文（第三方产品出厂文件除外）。</w:t>
      </w:r>
    </w:p>
    <w:p w14:paraId="1B6776EC">
      <w:pPr>
        <w:pStyle w:val="4"/>
        <w:ind w:firstLine="422"/>
        <w:rPr>
          <w:color w:val="auto"/>
        </w:rPr>
      </w:pPr>
      <w:r>
        <w:rPr>
          <w:rFonts w:hint="eastAsia"/>
          <w:color w:val="auto"/>
        </w:rPr>
        <w:t>1</w:t>
      </w:r>
      <w:r>
        <w:rPr>
          <w:color w:val="auto"/>
        </w:rPr>
        <w:t xml:space="preserve">1.2 </w:t>
      </w:r>
      <w:r>
        <w:rPr>
          <w:rFonts w:hint="eastAsia"/>
          <w:color w:val="auto"/>
        </w:rPr>
        <w:t>培训</w:t>
      </w:r>
    </w:p>
    <w:p w14:paraId="6B49F547">
      <w:pPr>
        <w:ind w:firstLine="420"/>
        <w:rPr>
          <w:color w:val="auto"/>
        </w:rPr>
      </w:pPr>
      <w:r>
        <w:rPr>
          <w:rFonts w:hint="eastAsia"/>
          <w:color w:val="auto"/>
        </w:rPr>
        <w:t>1）培训人员</w:t>
      </w:r>
    </w:p>
    <w:p w14:paraId="0F5391D1">
      <w:pPr>
        <w:ind w:firstLine="420"/>
        <w:rPr>
          <w:color w:val="auto"/>
        </w:rPr>
      </w:pPr>
      <w:r>
        <w:rPr>
          <w:rFonts w:hint="eastAsia"/>
          <w:color w:val="auto"/>
        </w:rPr>
        <w:t>成交供应商应对下列人员进行相应的技术培训：</w:t>
      </w:r>
    </w:p>
    <w:p w14:paraId="140DBD7E">
      <w:pPr>
        <w:ind w:firstLine="420"/>
        <w:rPr>
          <w:color w:val="auto"/>
        </w:rPr>
      </w:pPr>
      <w:r>
        <w:rPr>
          <w:rFonts w:hint="eastAsia"/>
          <w:color w:val="auto"/>
        </w:rPr>
        <w:t>包括但不限于涉及本项目的相关开发人员、运维人员以及业务人员等。</w:t>
      </w:r>
    </w:p>
    <w:p w14:paraId="6E2B57F2">
      <w:pPr>
        <w:ind w:firstLine="420"/>
        <w:rPr>
          <w:color w:val="auto"/>
        </w:rPr>
      </w:pPr>
      <w:r>
        <w:rPr>
          <w:rFonts w:hint="eastAsia"/>
          <w:color w:val="auto"/>
        </w:rPr>
        <w:t>2）要求</w:t>
      </w:r>
    </w:p>
    <w:p w14:paraId="0FD9E291">
      <w:pPr>
        <w:ind w:firstLine="420"/>
        <w:rPr>
          <w:color w:val="auto"/>
        </w:rPr>
      </w:pPr>
      <w:r>
        <w:rPr>
          <w:rFonts w:hint="eastAsia"/>
          <w:color w:val="auto"/>
        </w:rPr>
        <w:t>对所有的培训，响应人除提供完备的书面教材外，还应提交培训方案和计划。</w:t>
      </w:r>
    </w:p>
    <w:p w14:paraId="34D58DB2">
      <w:pPr>
        <w:ind w:firstLine="420"/>
        <w:rPr>
          <w:color w:val="auto"/>
        </w:rPr>
      </w:pPr>
      <w:r>
        <w:rPr>
          <w:rFonts w:hint="eastAsia"/>
          <w:color w:val="auto"/>
        </w:rPr>
        <w:t>采购人要求所有的培训在采购人指定地点进行。</w:t>
      </w:r>
    </w:p>
    <w:bookmarkEnd w:id="1023"/>
    <w:bookmarkEnd w:id="1024"/>
    <w:p w14:paraId="20213549">
      <w:pPr>
        <w:pStyle w:val="3"/>
        <w:rPr>
          <w:color w:val="auto"/>
        </w:rPr>
      </w:pPr>
      <w:bookmarkStart w:id="1029" w:name="_Toc89675148"/>
      <w:bookmarkStart w:id="1030" w:name="_Toc15059422"/>
      <w:r>
        <w:rPr>
          <w:color w:val="auto"/>
        </w:rPr>
        <w:t>1</w:t>
      </w:r>
      <w:r>
        <w:rPr>
          <w:rFonts w:hint="eastAsia"/>
          <w:color w:val="auto"/>
        </w:rPr>
        <w:t>2</w:t>
      </w:r>
      <w:r>
        <w:rPr>
          <w:color w:val="auto"/>
        </w:rPr>
        <w:t>.</w:t>
      </w:r>
      <w:r>
        <w:rPr>
          <w:rFonts w:hint="eastAsia"/>
          <w:color w:val="auto"/>
        </w:rPr>
        <w:t>付款方式</w:t>
      </w:r>
      <w:bookmarkEnd w:id="1029"/>
      <w:bookmarkEnd w:id="1030"/>
    </w:p>
    <w:p w14:paraId="3505FCE6">
      <w:pPr>
        <w:ind w:firstLine="420"/>
        <w:rPr>
          <w:color w:val="auto"/>
        </w:rPr>
      </w:pPr>
      <w:r>
        <w:rPr>
          <w:rFonts w:hint="eastAsia"/>
          <w:color w:val="auto"/>
        </w:rPr>
        <w:t>本合同款项采用分期付款：</w:t>
      </w:r>
    </w:p>
    <w:p w14:paraId="41C3D30E">
      <w:pPr>
        <w:ind w:firstLine="420"/>
        <w:rPr>
          <w:color w:val="auto"/>
        </w:rPr>
      </w:pPr>
      <w:r>
        <w:rPr>
          <w:color w:val="auto"/>
        </w:rPr>
        <w:t>1）</w:t>
      </w:r>
      <w:r>
        <w:rPr>
          <w:rFonts w:hint="eastAsia"/>
          <w:color w:val="auto"/>
        </w:rPr>
        <w:t>项目安装、调试并投入试运行后30个工作日内,乙方向甲方提供合法足额的增值税专用发票，甲方向乙方支付合同总额的60％。</w:t>
      </w:r>
    </w:p>
    <w:p w14:paraId="10848F37">
      <w:pPr>
        <w:ind w:firstLine="420"/>
        <w:rPr>
          <w:color w:val="auto"/>
        </w:rPr>
      </w:pPr>
      <w:r>
        <w:rPr>
          <w:rFonts w:hint="eastAsia"/>
          <w:color w:val="auto"/>
        </w:rPr>
        <w:t>2</w:t>
      </w:r>
      <w:r>
        <w:rPr>
          <w:color w:val="auto"/>
        </w:rPr>
        <w:t>）</w:t>
      </w:r>
      <w:r>
        <w:rPr>
          <w:rFonts w:hint="eastAsia"/>
          <w:color w:val="auto"/>
        </w:rPr>
        <w:t>项目正式验收合格后30个工作日内, 甲方依据《服务水平协议（SLA）》对乙方服务质量作出评价，评价合格后，乙方向甲方提供合法足额的增值税专用发票，甲方向乙方支付合同总价的30％，否则按《服务水平协议（SLA）》进行相应金额扣除。</w:t>
      </w:r>
    </w:p>
    <w:p w14:paraId="4876DD43">
      <w:pPr>
        <w:ind w:firstLine="420"/>
        <w:rPr>
          <w:color w:val="auto"/>
        </w:rPr>
      </w:pPr>
      <w:r>
        <w:rPr>
          <w:rFonts w:hint="eastAsia"/>
          <w:color w:val="auto"/>
        </w:rPr>
        <w:t>3</w:t>
      </w:r>
      <w:r>
        <w:rPr>
          <w:color w:val="auto"/>
        </w:rPr>
        <w:t>）</w:t>
      </w:r>
      <w:r>
        <w:rPr>
          <w:rFonts w:hint="eastAsia"/>
          <w:color w:val="auto"/>
        </w:rPr>
        <w:t>维护到期后30个工作日内，甲方依据《服务水平协议（SLA）》对乙方服务质量作出评价，评价合格后，乙方向甲方提供合法足额的增值税专用发票，甲方向乙方支付合同总额的全部余款，否则按《服务水平协议（SLA）》进行相应金额扣除。</w:t>
      </w:r>
    </w:p>
    <w:p w14:paraId="13133A98">
      <w:pPr>
        <w:pStyle w:val="3"/>
        <w:rPr>
          <w:color w:val="auto"/>
        </w:rPr>
      </w:pPr>
      <w:bookmarkStart w:id="1031" w:name="_Toc15059424"/>
      <w:bookmarkStart w:id="1032" w:name="_Toc89675150"/>
      <w:r>
        <w:rPr>
          <w:color w:val="auto"/>
        </w:rPr>
        <w:t>1</w:t>
      </w:r>
      <w:r>
        <w:rPr>
          <w:rFonts w:hint="eastAsia"/>
          <w:color w:val="auto"/>
        </w:rPr>
        <w:t>3</w:t>
      </w:r>
      <w:r>
        <w:rPr>
          <w:color w:val="auto"/>
        </w:rPr>
        <w:t>.</w:t>
      </w:r>
      <w:r>
        <w:rPr>
          <w:rFonts w:hint="eastAsia"/>
          <w:color w:val="auto"/>
        </w:rPr>
        <w:t>保密条款</w:t>
      </w:r>
      <w:bookmarkEnd w:id="1025"/>
      <w:bookmarkEnd w:id="1026"/>
      <w:bookmarkEnd w:id="1027"/>
      <w:bookmarkEnd w:id="1028"/>
      <w:bookmarkEnd w:id="1031"/>
      <w:bookmarkEnd w:id="1032"/>
    </w:p>
    <w:p w14:paraId="63BB983B">
      <w:pPr>
        <w:pStyle w:val="4"/>
        <w:ind w:firstLine="422"/>
        <w:rPr>
          <w:color w:val="auto"/>
        </w:rPr>
      </w:pPr>
      <w:r>
        <w:rPr>
          <w:rFonts w:hint="eastAsia"/>
          <w:color w:val="auto"/>
        </w:rPr>
        <w:t>13.1 保密范围</w:t>
      </w:r>
    </w:p>
    <w:p w14:paraId="2ECC066C">
      <w:pPr>
        <w:ind w:firstLine="420"/>
        <w:rPr>
          <w:color w:val="auto"/>
        </w:rPr>
      </w:pPr>
      <w:r>
        <w:rPr>
          <w:rFonts w:hint="eastAsia"/>
          <w:color w:val="auto"/>
        </w:rPr>
        <w:t>成交供应商在实施过程中接触到的采购人知识产权、经营信息等。</w:t>
      </w:r>
    </w:p>
    <w:p w14:paraId="641F21CB">
      <w:pPr>
        <w:pStyle w:val="4"/>
        <w:ind w:firstLine="422"/>
        <w:rPr>
          <w:color w:val="auto"/>
        </w:rPr>
      </w:pPr>
      <w:r>
        <w:rPr>
          <w:color w:val="auto"/>
        </w:rPr>
        <w:t>1</w:t>
      </w:r>
      <w:r>
        <w:rPr>
          <w:rFonts w:hint="eastAsia"/>
          <w:color w:val="auto"/>
        </w:rPr>
        <w:t>3.2 保密责任</w:t>
      </w:r>
    </w:p>
    <w:p w14:paraId="19604A4E">
      <w:pPr>
        <w:ind w:firstLine="420"/>
        <w:rPr>
          <w:color w:val="auto"/>
        </w:rPr>
      </w:pPr>
      <w:r>
        <w:rPr>
          <w:rFonts w:hint="eastAsia"/>
          <w:color w:val="auto"/>
        </w:rPr>
        <w:t>双方互为保密资料的提供方和接受方，负有保密义务，承担保密责任。除经过双方书面同意，任何一方不得将有关内容提供给合同以外的第三人。</w:t>
      </w:r>
    </w:p>
    <w:p w14:paraId="1E0F58D9">
      <w:pPr>
        <w:pStyle w:val="3"/>
        <w:rPr>
          <w:color w:val="auto"/>
        </w:rPr>
      </w:pPr>
      <w:bookmarkStart w:id="1033" w:name="_Toc15059426"/>
      <w:bookmarkStart w:id="1034" w:name="_Toc89675152"/>
      <w:r>
        <w:rPr>
          <w:color w:val="auto"/>
        </w:rPr>
        <w:t>1</w:t>
      </w:r>
      <w:r>
        <w:rPr>
          <w:rFonts w:hint="eastAsia"/>
          <w:color w:val="auto"/>
        </w:rPr>
        <w:t>4</w:t>
      </w:r>
      <w:r>
        <w:rPr>
          <w:color w:val="auto"/>
        </w:rPr>
        <w:t>.</w:t>
      </w:r>
      <w:r>
        <w:rPr>
          <w:rFonts w:hint="eastAsia"/>
          <w:color w:val="auto"/>
        </w:rPr>
        <w:t>知识产权</w:t>
      </w:r>
      <w:bookmarkEnd w:id="1033"/>
      <w:bookmarkEnd w:id="1034"/>
    </w:p>
    <w:p w14:paraId="4DD02D63">
      <w:pPr>
        <w:ind w:firstLine="420"/>
        <w:rPr>
          <w:color w:val="auto"/>
        </w:rPr>
      </w:pPr>
      <w:r>
        <w:rPr>
          <w:rFonts w:hint="eastAsia"/>
          <w:color w:val="auto"/>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4669FD6A">
      <w:pPr>
        <w:ind w:firstLine="420"/>
        <w:rPr>
          <w:color w:val="auto"/>
        </w:rPr>
      </w:pPr>
      <w:r>
        <w:rPr>
          <w:rFonts w:hint="eastAsia"/>
          <w:color w:val="auto"/>
        </w:rPr>
        <w:t>一经发现成交供应商将采购人具有自主知识产权的系统代码违规转让、销售、赠送或泄露给第三方，或者通过互联网渠道（如百度网盘、GitHub仓库等）违规公开分享与该系统相关的重要配置数据、开发设计文档以及产品源代码，将视情节轻重情况给予成交供应商相应处罚（处罚金额不低于合同金额的10%）。</w:t>
      </w:r>
    </w:p>
    <w:p w14:paraId="6B2BAC2A">
      <w:pPr>
        <w:pStyle w:val="3"/>
        <w:rPr>
          <w:color w:val="auto"/>
        </w:rPr>
      </w:pPr>
      <w:bookmarkStart w:id="1035" w:name="_Toc89675153"/>
      <w:bookmarkStart w:id="1036" w:name="_Toc15059427"/>
      <w:r>
        <w:rPr>
          <w:color w:val="auto"/>
        </w:rPr>
        <w:t>1</w:t>
      </w:r>
      <w:r>
        <w:rPr>
          <w:rFonts w:hint="eastAsia"/>
          <w:color w:val="auto"/>
        </w:rPr>
        <w:t>5</w:t>
      </w:r>
      <w:r>
        <w:rPr>
          <w:color w:val="auto"/>
        </w:rPr>
        <w:t>.</w:t>
      </w:r>
      <w:r>
        <w:rPr>
          <w:rFonts w:hint="eastAsia"/>
          <w:color w:val="auto"/>
        </w:rPr>
        <w:t>其他</w:t>
      </w:r>
      <w:bookmarkEnd w:id="1035"/>
      <w:bookmarkEnd w:id="1036"/>
    </w:p>
    <w:p w14:paraId="019AB8E2">
      <w:pPr>
        <w:ind w:firstLine="420"/>
        <w:rPr>
          <w:color w:val="auto"/>
        </w:rPr>
      </w:pPr>
      <w:r>
        <w:rPr>
          <w:rFonts w:hint="eastAsia"/>
          <w:color w:val="auto"/>
        </w:rPr>
        <w:t>其他未尽事宜由供需双方在合同中详细约定。</w:t>
      </w:r>
    </w:p>
    <w:p w14:paraId="79758FBF">
      <w:pPr>
        <w:ind w:firstLine="420"/>
        <w:rPr>
          <w:color w:val="auto"/>
        </w:rPr>
      </w:pPr>
      <w:r>
        <w:rPr>
          <w:rFonts w:hint="eastAsia"/>
          <w:color w:val="auto"/>
        </w:rPr>
        <w:br w:type="page"/>
      </w:r>
    </w:p>
    <w:p w14:paraId="59D052FD">
      <w:pPr>
        <w:pStyle w:val="2"/>
        <w:rPr>
          <w:color w:val="auto"/>
        </w:rPr>
      </w:pPr>
      <w:bookmarkStart w:id="1037" w:name="_Toc4055"/>
      <w:bookmarkStart w:id="1038" w:name="_Toc2594"/>
      <w:bookmarkStart w:id="1039" w:name="_Toc7977"/>
      <w:bookmarkStart w:id="1040" w:name="_Toc8834"/>
      <w:bookmarkStart w:id="1041" w:name="_Toc8379"/>
      <w:bookmarkStart w:id="1042" w:name="_Toc857"/>
      <w:bookmarkStart w:id="1043" w:name="_Toc29588"/>
      <w:bookmarkStart w:id="1044" w:name="_Toc8181"/>
      <w:bookmarkStart w:id="1045" w:name="_Toc3123"/>
      <w:bookmarkStart w:id="1046" w:name="_Toc23687"/>
      <w:bookmarkStart w:id="1047" w:name="_Toc11392"/>
      <w:bookmarkStart w:id="1048" w:name="_Toc19703"/>
      <w:bookmarkStart w:id="1049" w:name="_Toc359"/>
      <w:bookmarkStart w:id="1050" w:name="_Toc809"/>
      <w:bookmarkStart w:id="1051" w:name="_Toc22661"/>
      <w:bookmarkStart w:id="1052" w:name="_Toc24981"/>
      <w:bookmarkStart w:id="1053" w:name="_Toc22798"/>
      <w:bookmarkStart w:id="1054" w:name="_Toc19586"/>
      <w:bookmarkStart w:id="1055" w:name="_Toc21767"/>
      <w:bookmarkStart w:id="1056" w:name="_Toc30164"/>
      <w:bookmarkStart w:id="1057" w:name="_Toc30403"/>
      <w:bookmarkStart w:id="1058" w:name="_Toc26922"/>
      <w:bookmarkStart w:id="1059" w:name="_Toc27915"/>
      <w:r>
        <w:rPr>
          <w:rFonts w:hint="eastAsia"/>
          <w:color w:val="auto"/>
        </w:rPr>
        <w:t>第六章 响应文件格式</w:t>
      </w:r>
      <w:bookmarkEnd w:id="1007"/>
      <w:bookmarkEnd w:id="1008"/>
      <w:bookmarkEnd w:id="1009"/>
      <w:bookmarkEnd w:id="1010"/>
      <w:bookmarkEnd w:id="1011"/>
      <w:bookmarkEnd w:id="1012"/>
      <w:bookmarkEnd w:id="1013"/>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14:paraId="3ED4DC85">
      <w:pPr>
        <w:ind w:firstLine="420"/>
        <w:rPr>
          <w:color w:val="auto"/>
        </w:rPr>
      </w:pPr>
    </w:p>
    <w:p w14:paraId="3E94FE57">
      <w:pPr>
        <w:ind w:firstLine="420"/>
        <w:rPr>
          <w:color w:val="auto"/>
        </w:rPr>
      </w:pPr>
    </w:p>
    <w:p w14:paraId="78AB4A0B">
      <w:pPr>
        <w:ind w:firstLine="420"/>
        <w:rPr>
          <w:color w:val="auto"/>
        </w:rPr>
      </w:pPr>
    </w:p>
    <w:p w14:paraId="06EE2351">
      <w:pPr>
        <w:ind w:firstLine="420"/>
        <w:rPr>
          <w:color w:val="auto"/>
        </w:rPr>
      </w:pPr>
    </w:p>
    <w:p w14:paraId="06F6377E">
      <w:pPr>
        <w:ind w:firstLine="420"/>
        <w:rPr>
          <w:color w:val="auto"/>
        </w:rPr>
      </w:pPr>
    </w:p>
    <w:p w14:paraId="51102CFA">
      <w:pPr>
        <w:ind w:firstLine="420"/>
        <w:rPr>
          <w:color w:val="auto"/>
        </w:rPr>
      </w:pPr>
    </w:p>
    <w:bookmarkEnd w:id="1014"/>
    <w:bookmarkEnd w:id="1015"/>
    <w:bookmarkEnd w:id="1016"/>
    <w:bookmarkEnd w:id="1017"/>
    <w:bookmarkEnd w:id="1018"/>
    <w:p w14:paraId="50AD3E08">
      <w:pPr>
        <w:ind w:firstLine="420"/>
        <w:rPr>
          <w:color w:val="auto"/>
        </w:rPr>
      </w:pPr>
    </w:p>
    <w:p w14:paraId="54A21D55">
      <w:pPr>
        <w:ind w:firstLine="420"/>
        <w:rPr>
          <w:color w:val="auto"/>
        </w:rPr>
      </w:pPr>
      <w:r>
        <w:rPr>
          <w:color w:val="auto"/>
        </w:rPr>
        <w:br w:type="page"/>
      </w:r>
    </w:p>
    <w:p w14:paraId="3E280488">
      <w:pPr>
        <w:ind w:firstLine="420"/>
        <w:rPr>
          <w:rFonts w:hint="eastAsia" w:ascii="宋体" w:hAnsi="宋体" w:cs="宋体"/>
          <w:color w:val="auto"/>
        </w:rPr>
      </w:pPr>
    </w:p>
    <w:p w14:paraId="0CEE311D">
      <w:pPr>
        <w:ind w:firstLine="420"/>
        <w:rPr>
          <w:rFonts w:hint="eastAsia" w:ascii="宋体" w:hAnsi="宋体" w:cs="宋体"/>
          <w:color w:val="auto"/>
          <w:szCs w:val="21"/>
        </w:rPr>
      </w:pPr>
    </w:p>
    <w:p w14:paraId="455ACEAC">
      <w:pPr>
        <w:pStyle w:val="47"/>
        <w:rPr>
          <w:rFonts w:hint="default"/>
          <w:color w:val="auto"/>
        </w:rPr>
      </w:pPr>
      <w:r>
        <w:rPr>
          <w:rFonts w:hint="default"/>
          <w:color w:val="auto"/>
        </w:rPr>
        <w:t>重庆三峡银行第二代移动作业管理系统建设项目</w:t>
      </w:r>
    </w:p>
    <w:p w14:paraId="0BAA3395">
      <w:pPr>
        <w:ind w:firstLine="420"/>
        <w:rPr>
          <w:color w:val="auto"/>
        </w:rPr>
      </w:pPr>
    </w:p>
    <w:p w14:paraId="599DAC26">
      <w:pPr>
        <w:ind w:firstLine="420"/>
        <w:rPr>
          <w:color w:val="auto"/>
        </w:rPr>
      </w:pPr>
    </w:p>
    <w:p w14:paraId="72BD1B95">
      <w:pPr>
        <w:ind w:firstLine="420"/>
        <w:rPr>
          <w:color w:val="auto"/>
        </w:rPr>
      </w:pPr>
    </w:p>
    <w:p w14:paraId="699900FF">
      <w:pPr>
        <w:ind w:firstLine="420"/>
        <w:rPr>
          <w:color w:val="auto"/>
        </w:rPr>
      </w:pPr>
    </w:p>
    <w:p w14:paraId="0BFCF123">
      <w:pPr>
        <w:ind w:firstLine="420"/>
        <w:rPr>
          <w:color w:val="auto"/>
        </w:rPr>
      </w:pPr>
    </w:p>
    <w:p w14:paraId="1D6554E6">
      <w:pPr>
        <w:ind w:firstLine="420"/>
        <w:rPr>
          <w:color w:val="auto"/>
        </w:rPr>
      </w:pPr>
    </w:p>
    <w:p w14:paraId="1C0B491C">
      <w:pPr>
        <w:pStyle w:val="48"/>
        <w:rPr>
          <w:rFonts w:hint="default"/>
          <w:color w:val="auto"/>
        </w:rPr>
      </w:pPr>
      <w:bookmarkStart w:id="1060" w:name="_Toc29921"/>
      <w:bookmarkStart w:id="1061" w:name="_Toc20280"/>
      <w:bookmarkStart w:id="1062" w:name="_Toc23125"/>
      <w:bookmarkStart w:id="1063" w:name="_Toc5535"/>
      <w:bookmarkStart w:id="1064" w:name="_Toc26325"/>
      <w:bookmarkStart w:id="1065" w:name="_Toc28741"/>
      <w:r>
        <w:rPr>
          <w:color w:val="auto"/>
        </w:rPr>
        <w:t>响 应 文 件</w:t>
      </w:r>
      <w:bookmarkEnd w:id="1060"/>
      <w:bookmarkEnd w:id="1061"/>
      <w:bookmarkEnd w:id="1062"/>
      <w:bookmarkEnd w:id="1063"/>
      <w:bookmarkEnd w:id="1064"/>
      <w:bookmarkEnd w:id="1065"/>
    </w:p>
    <w:p w14:paraId="6AFC1534">
      <w:pPr>
        <w:ind w:firstLine="420"/>
        <w:rPr>
          <w:color w:val="auto"/>
        </w:rPr>
      </w:pPr>
    </w:p>
    <w:p w14:paraId="6AEA994F">
      <w:pPr>
        <w:ind w:firstLine="420"/>
        <w:rPr>
          <w:color w:val="auto"/>
        </w:rPr>
      </w:pPr>
    </w:p>
    <w:p w14:paraId="6DBD1EA4">
      <w:pPr>
        <w:ind w:firstLine="420"/>
        <w:rPr>
          <w:color w:val="auto"/>
        </w:rPr>
      </w:pPr>
    </w:p>
    <w:p w14:paraId="65B2A124">
      <w:pPr>
        <w:ind w:firstLine="420"/>
        <w:rPr>
          <w:color w:val="auto"/>
        </w:rPr>
      </w:pPr>
    </w:p>
    <w:p w14:paraId="630FFBB0">
      <w:pPr>
        <w:ind w:firstLine="420"/>
        <w:rPr>
          <w:color w:val="auto"/>
        </w:rPr>
      </w:pPr>
    </w:p>
    <w:p w14:paraId="4A29C4E5">
      <w:pPr>
        <w:ind w:firstLine="420"/>
        <w:rPr>
          <w:color w:val="auto"/>
        </w:rPr>
      </w:pPr>
    </w:p>
    <w:p w14:paraId="2AC39F16">
      <w:pPr>
        <w:ind w:firstLine="420"/>
        <w:rPr>
          <w:color w:val="auto"/>
        </w:rPr>
      </w:pPr>
    </w:p>
    <w:p w14:paraId="30F03D0F">
      <w:pPr>
        <w:ind w:firstLine="420"/>
        <w:rPr>
          <w:color w:val="auto"/>
        </w:rPr>
      </w:pPr>
    </w:p>
    <w:p w14:paraId="775E672F">
      <w:pPr>
        <w:pStyle w:val="17"/>
        <w:rPr>
          <w:color w:val="auto"/>
        </w:rPr>
      </w:pPr>
      <w:r>
        <w:rPr>
          <w:rFonts w:hint="eastAsia"/>
          <w:color w:val="auto"/>
        </w:rPr>
        <w:t xml:space="preserve">响应人：   </w:t>
      </w:r>
      <w:r>
        <w:rPr>
          <w:rFonts w:hint="eastAsia"/>
          <w:color w:val="auto"/>
          <w:u w:val="single"/>
        </w:rPr>
        <w:t xml:space="preserve">                          </w:t>
      </w:r>
      <w:r>
        <w:rPr>
          <w:rFonts w:hint="eastAsia"/>
          <w:color w:val="auto"/>
        </w:rPr>
        <w:t xml:space="preserve"> （盖单位公章）</w:t>
      </w:r>
    </w:p>
    <w:p w14:paraId="36658B21">
      <w:pPr>
        <w:pStyle w:val="17"/>
        <w:rPr>
          <w:color w:val="auto"/>
        </w:rPr>
      </w:pPr>
      <w:r>
        <w:rPr>
          <w:rFonts w:hint="eastAsia"/>
          <w:color w:val="auto"/>
        </w:rPr>
        <w:t>法定代表人或其委托代理人：</w:t>
      </w:r>
      <w:r>
        <w:rPr>
          <w:rFonts w:hint="eastAsia"/>
          <w:color w:val="auto"/>
          <w:u w:val="single"/>
        </w:rPr>
        <w:t xml:space="preserve">                   </w:t>
      </w:r>
      <w:r>
        <w:rPr>
          <w:rFonts w:hint="eastAsia"/>
          <w:color w:val="auto"/>
        </w:rPr>
        <w:t>（签名）</w:t>
      </w:r>
    </w:p>
    <w:p w14:paraId="686AE9F0">
      <w:pPr>
        <w:pStyle w:val="17"/>
        <w:rPr>
          <w:color w:val="auto"/>
        </w:rPr>
      </w:pPr>
    </w:p>
    <w:p w14:paraId="4A369FF7">
      <w:pPr>
        <w:pStyle w:val="17"/>
        <w:rPr>
          <w:color w:val="auto"/>
        </w:rPr>
      </w:pPr>
    </w:p>
    <w:p w14:paraId="726B7E30">
      <w:pPr>
        <w:pStyle w:val="17"/>
        <w:rPr>
          <w:color w:val="auto"/>
        </w:rPr>
        <w:sectPr>
          <w:footerReference r:id="rId13" w:type="default"/>
          <w:pgSz w:w="11906" w:h="16838"/>
          <w:pgMar w:top="1440" w:right="1800" w:bottom="1440" w:left="1803" w:header="851" w:footer="992" w:gutter="0"/>
          <w:pgNumType w:fmt="decimal"/>
          <w:cols w:space="425" w:num="1"/>
          <w:docGrid w:type="lines" w:linePitch="312" w:charSpace="0"/>
        </w:sectPr>
      </w:pPr>
      <w:r>
        <w:rPr>
          <w:rFonts w:hint="eastAsia"/>
          <w:color w:val="auto"/>
        </w:rPr>
        <w:t>年  月  日</w:t>
      </w:r>
    </w:p>
    <w:p w14:paraId="7F4833DF">
      <w:pPr>
        <w:pStyle w:val="3"/>
        <w:jc w:val="center"/>
        <w:rPr>
          <w:color w:val="auto"/>
        </w:rPr>
      </w:pPr>
      <w:bookmarkStart w:id="1066" w:name="_Toc224103493"/>
      <w:r>
        <w:rPr>
          <w:rFonts w:hint="eastAsia"/>
          <w:color w:val="auto"/>
        </w:rPr>
        <w:t>目  录</w:t>
      </w:r>
      <w:bookmarkEnd w:id="1066"/>
    </w:p>
    <w:p w14:paraId="20BC6326">
      <w:pPr>
        <w:ind w:firstLine="420"/>
        <w:jc w:val="left"/>
        <w:rPr>
          <w:rFonts w:hint="eastAsia" w:ascii="宋体" w:hAnsi="宋体"/>
          <w:color w:val="auto"/>
        </w:rPr>
      </w:pPr>
    </w:p>
    <w:p w14:paraId="4F633B2A">
      <w:pPr>
        <w:pStyle w:val="10"/>
        <w:ind w:firstLine="420"/>
        <w:rPr>
          <w:color w:val="auto"/>
        </w:rPr>
      </w:pPr>
      <w:r>
        <w:rPr>
          <w:rFonts w:hint="eastAsia"/>
          <w:color w:val="auto"/>
        </w:rPr>
        <w:t>一、响应函</w:t>
      </w:r>
    </w:p>
    <w:p w14:paraId="502470CF">
      <w:pPr>
        <w:pStyle w:val="10"/>
        <w:ind w:firstLine="420"/>
        <w:rPr>
          <w:color w:val="auto"/>
        </w:rPr>
      </w:pPr>
      <w:r>
        <w:rPr>
          <w:rFonts w:hint="eastAsia"/>
          <w:color w:val="auto"/>
        </w:rPr>
        <w:t>二、法定代表人身份证明或授权委托书</w:t>
      </w:r>
    </w:p>
    <w:p w14:paraId="08197895">
      <w:pPr>
        <w:pStyle w:val="10"/>
        <w:ind w:firstLine="420"/>
        <w:rPr>
          <w:color w:val="auto"/>
        </w:rPr>
      </w:pPr>
      <w:r>
        <w:rPr>
          <w:rFonts w:hint="eastAsia"/>
          <w:color w:val="auto"/>
        </w:rPr>
        <w:t>三、商务部分</w:t>
      </w:r>
    </w:p>
    <w:p w14:paraId="49CF0E9C">
      <w:pPr>
        <w:pStyle w:val="10"/>
        <w:ind w:firstLine="420"/>
        <w:rPr>
          <w:color w:val="auto"/>
        </w:rPr>
      </w:pPr>
      <w:r>
        <w:rPr>
          <w:rFonts w:hint="eastAsia"/>
          <w:color w:val="auto"/>
        </w:rPr>
        <w:t>四、技术部分</w:t>
      </w:r>
    </w:p>
    <w:p w14:paraId="054F6F2F">
      <w:pPr>
        <w:pStyle w:val="10"/>
        <w:ind w:firstLine="420"/>
        <w:rPr>
          <w:color w:val="auto"/>
        </w:rPr>
      </w:pPr>
      <w:r>
        <w:rPr>
          <w:rFonts w:hint="eastAsia"/>
          <w:color w:val="auto"/>
        </w:rPr>
        <w:t>五、资格审查资料</w:t>
      </w:r>
    </w:p>
    <w:p w14:paraId="2072EDB8">
      <w:pPr>
        <w:pStyle w:val="10"/>
        <w:ind w:left="420" w:firstLine="420"/>
        <w:rPr>
          <w:color w:val="auto"/>
        </w:rPr>
      </w:pPr>
      <w:r>
        <w:rPr>
          <w:rFonts w:hint="eastAsia"/>
          <w:color w:val="auto"/>
        </w:rPr>
        <w:t>（一）资质条件</w:t>
      </w:r>
    </w:p>
    <w:p w14:paraId="35B1ACF5">
      <w:pPr>
        <w:pStyle w:val="10"/>
        <w:ind w:left="840" w:firstLine="420"/>
        <w:rPr>
          <w:color w:val="auto"/>
        </w:rPr>
      </w:pPr>
      <w:r>
        <w:rPr>
          <w:rFonts w:hint="eastAsia"/>
          <w:color w:val="auto"/>
        </w:rPr>
        <w:t>（1）有效的营业执照扫描件</w:t>
      </w:r>
    </w:p>
    <w:p w14:paraId="75109947">
      <w:pPr>
        <w:pStyle w:val="10"/>
        <w:ind w:left="420" w:firstLine="420"/>
        <w:rPr>
          <w:color w:val="auto"/>
        </w:rPr>
      </w:pPr>
      <w:r>
        <w:rPr>
          <w:rFonts w:hint="eastAsia"/>
          <w:color w:val="auto"/>
        </w:rPr>
        <w:t>（二）其他要求</w:t>
      </w:r>
    </w:p>
    <w:p w14:paraId="02188568">
      <w:pPr>
        <w:pStyle w:val="10"/>
        <w:ind w:left="840" w:firstLine="420"/>
        <w:rPr>
          <w:color w:val="auto"/>
        </w:rPr>
      </w:pPr>
      <w:r>
        <w:rPr>
          <w:rFonts w:hint="eastAsia"/>
          <w:color w:val="auto"/>
        </w:rPr>
        <w:t>响应人基本情况介绍</w:t>
      </w:r>
    </w:p>
    <w:p w14:paraId="0E7BB21B">
      <w:pPr>
        <w:pStyle w:val="10"/>
        <w:ind w:left="840" w:firstLine="420"/>
        <w:rPr>
          <w:color w:val="auto"/>
        </w:rPr>
      </w:pPr>
      <w:r>
        <w:rPr>
          <w:rFonts w:hint="eastAsia"/>
          <w:color w:val="auto"/>
        </w:rPr>
        <w:t>（1）书面声明</w:t>
      </w:r>
    </w:p>
    <w:p w14:paraId="59EA0376">
      <w:pPr>
        <w:pStyle w:val="10"/>
        <w:ind w:left="840" w:firstLine="420"/>
        <w:rPr>
          <w:color w:val="auto"/>
        </w:rPr>
      </w:pPr>
      <w:r>
        <w:rPr>
          <w:rFonts w:hint="eastAsia"/>
          <w:color w:val="auto"/>
        </w:rPr>
        <w:t>（2）中国执行信息公开网截图</w:t>
      </w:r>
    </w:p>
    <w:p w14:paraId="423ED6B0">
      <w:pPr>
        <w:pStyle w:val="10"/>
        <w:ind w:left="840" w:firstLine="420"/>
        <w:rPr>
          <w:color w:val="auto"/>
        </w:rPr>
      </w:pPr>
      <w:r>
        <w:rPr>
          <w:rFonts w:hint="eastAsia"/>
          <w:color w:val="auto"/>
        </w:rPr>
        <w:t>（3）项目案例和业绩证明文件扫描件</w:t>
      </w:r>
    </w:p>
    <w:p w14:paraId="329D0C49">
      <w:pPr>
        <w:pStyle w:val="10"/>
        <w:ind w:left="840" w:firstLine="420"/>
        <w:rPr>
          <w:color w:val="auto"/>
        </w:rPr>
      </w:pPr>
      <w:r>
        <w:rPr>
          <w:rFonts w:hint="eastAsia"/>
          <w:color w:val="auto"/>
        </w:rPr>
        <w:t>（4）近三年（2023年、2024年、2025年）经审计的财务报表</w:t>
      </w:r>
    </w:p>
    <w:p w14:paraId="39AF1490">
      <w:pPr>
        <w:pStyle w:val="10"/>
        <w:ind w:left="840" w:firstLine="420"/>
        <w:rPr>
          <w:color w:val="auto"/>
        </w:rPr>
      </w:pPr>
      <w:r>
        <w:rPr>
          <w:rFonts w:hint="eastAsia"/>
          <w:color w:val="auto"/>
        </w:rPr>
        <w:t>（5）响应承诺函</w:t>
      </w:r>
    </w:p>
    <w:p w14:paraId="4F2428FE">
      <w:pPr>
        <w:pStyle w:val="10"/>
        <w:ind w:left="840" w:firstLine="420"/>
        <w:rPr>
          <w:color w:val="auto"/>
        </w:rPr>
      </w:pPr>
      <w:r>
        <w:rPr>
          <w:rFonts w:hint="eastAsia"/>
          <w:color w:val="auto"/>
        </w:rPr>
        <w:t>（6）售后服务和培训方案</w:t>
      </w:r>
    </w:p>
    <w:p w14:paraId="3A7DC3CB">
      <w:pPr>
        <w:pStyle w:val="10"/>
        <w:ind w:left="840" w:firstLine="420"/>
        <w:rPr>
          <w:color w:val="auto"/>
        </w:rPr>
      </w:pPr>
      <w:r>
        <w:rPr>
          <w:rFonts w:hint="eastAsia"/>
          <w:color w:val="auto"/>
        </w:rPr>
        <w:t>（7）服务水平协议（SLA）</w:t>
      </w:r>
    </w:p>
    <w:p w14:paraId="2CC017B9">
      <w:pPr>
        <w:pStyle w:val="10"/>
        <w:ind w:left="840" w:firstLine="420"/>
        <w:rPr>
          <w:color w:val="auto"/>
        </w:rPr>
      </w:pPr>
      <w:r>
        <w:rPr>
          <w:rFonts w:hint="eastAsia"/>
          <w:color w:val="auto"/>
        </w:rPr>
        <w:t>（8）服务连续性预案</w:t>
      </w:r>
    </w:p>
    <w:p w14:paraId="70332E7C">
      <w:pPr>
        <w:pStyle w:val="10"/>
        <w:ind w:left="840" w:firstLine="420"/>
        <w:rPr>
          <w:color w:val="auto"/>
        </w:rPr>
      </w:pPr>
      <w:r>
        <w:rPr>
          <w:rFonts w:hint="eastAsia"/>
          <w:color w:val="auto"/>
        </w:rPr>
        <w:t>（9）项目实施方案</w:t>
      </w:r>
    </w:p>
    <w:p w14:paraId="5811305A">
      <w:pPr>
        <w:pStyle w:val="10"/>
        <w:ind w:left="840" w:firstLine="420"/>
        <w:rPr>
          <w:color w:val="auto"/>
        </w:rPr>
      </w:pPr>
      <w:r>
        <w:rPr>
          <w:rFonts w:hint="eastAsia"/>
          <w:color w:val="auto"/>
        </w:rPr>
        <w:t>（10）其他资料（如有）</w:t>
      </w:r>
    </w:p>
    <w:p w14:paraId="49A11BD1">
      <w:pPr>
        <w:autoSpaceDE/>
        <w:autoSpaceDN/>
        <w:ind w:firstLine="420"/>
        <w:jc w:val="left"/>
        <w:rPr>
          <w:rFonts w:hint="eastAsia" w:ascii="宋体" w:hAnsi="宋体"/>
          <w:color w:val="auto"/>
        </w:rPr>
      </w:pPr>
    </w:p>
    <w:p w14:paraId="57C9F9AF">
      <w:pPr>
        <w:autoSpaceDE/>
        <w:autoSpaceDN/>
        <w:ind w:firstLine="420"/>
        <w:jc w:val="left"/>
        <w:rPr>
          <w:rFonts w:hint="eastAsia" w:ascii="宋体" w:hAnsi="宋体"/>
          <w:color w:val="auto"/>
        </w:rPr>
        <w:sectPr>
          <w:pgSz w:w="11906" w:h="16838"/>
          <w:pgMar w:top="1440" w:right="1800" w:bottom="1440" w:left="1803" w:header="851" w:footer="992" w:gutter="0"/>
          <w:pgNumType w:fmt="decimal"/>
          <w:cols w:space="425" w:num="1"/>
          <w:docGrid w:type="lines" w:linePitch="312" w:charSpace="0"/>
        </w:sectPr>
      </w:pPr>
    </w:p>
    <w:p w14:paraId="49C8A7AF">
      <w:pPr>
        <w:pStyle w:val="38"/>
        <w:rPr>
          <w:rFonts w:hint="default"/>
          <w:color w:val="auto"/>
        </w:rPr>
      </w:pPr>
      <w:bookmarkStart w:id="1067" w:name="_Toc11738"/>
      <w:bookmarkStart w:id="1068" w:name="_Toc18781"/>
      <w:bookmarkStart w:id="1069" w:name="_Toc14188"/>
      <w:bookmarkStart w:id="1070" w:name="_Toc15038"/>
      <w:bookmarkStart w:id="1071" w:name="_Toc16248"/>
      <w:bookmarkStart w:id="1072" w:name="_Toc15556"/>
      <w:bookmarkStart w:id="1073" w:name="_Toc30084"/>
      <w:bookmarkStart w:id="1074" w:name="_Toc31142"/>
      <w:bookmarkStart w:id="1075" w:name="_Toc26124"/>
      <w:r>
        <w:rPr>
          <w:color w:val="auto"/>
        </w:rPr>
        <w:t>一、</w:t>
      </w:r>
      <w:bookmarkEnd w:id="1067"/>
      <w:bookmarkEnd w:id="1068"/>
      <w:bookmarkEnd w:id="1069"/>
      <w:bookmarkEnd w:id="1070"/>
      <w:bookmarkEnd w:id="1071"/>
      <w:bookmarkEnd w:id="1072"/>
      <w:bookmarkEnd w:id="1073"/>
      <w:bookmarkEnd w:id="1074"/>
      <w:bookmarkEnd w:id="1075"/>
      <w:r>
        <w:rPr>
          <w:color w:val="auto"/>
        </w:rPr>
        <w:t>响应函</w:t>
      </w:r>
    </w:p>
    <w:p w14:paraId="365AC8E5">
      <w:pPr>
        <w:autoSpaceDE/>
        <w:autoSpaceDN/>
        <w:spacing w:line="400" w:lineRule="exact"/>
        <w:ind w:firstLine="0" w:firstLineChars="0"/>
        <w:rPr>
          <w:color w:val="auto"/>
        </w:rPr>
      </w:pPr>
      <w:bookmarkStart w:id="1076" w:name="_Toc13075"/>
      <w:bookmarkStart w:id="1077" w:name="_Toc246996357"/>
      <w:bookmarkStart w:id="1078" w:name="_Toc246997100"/>
      <w:bookmarkStart w:id="1079" w:name="_Toc144974858"/>
      <w:bookmarkStart w:id="1080" w:name="_Toc247085875"/>
      <w:bookmarkStart w:id="1081" w:name="_Toc179632809"/>
      <w:bookmarkStart w:id="1082" w:name="_Toc152042578"/>
      <w:bookmarkStart w:id="1083" w:name="_Toc152045789"/>
      <w:bookmarkStart w:id="1084" w:name="_Toc296602603"/>
      <w:r>
        <w:rPr>
          <w:rFonts w:hint="eastAsia"/>
          <w:color w:val="auto"/>
          <w:u w:val="single"/>
        </w:rPr>
        <w:t xml:space="preserve">                        </w:t>
      </w:r>
      <w:r>
        <w:rPr>
          <w:rFonts w:hint="eastAsia"/>
          <w:color w:val="auto"/>
        </w:rPr>
        <w:t>（采购人名称）：</w:t>
      </w:r>
    </w:p>
    <w:p w14:paraId="58DACF8C">
      <w:pPr>
        <w:autoSpaceDE/>
        <w:autoSpaceDN/>
        <w:spacing w:line="400" w:lineRule="exact"/>
        <w:ind w:firstLine="420"/>
        <w:rPr>
          <w:color w:val="auto"/>
        </w:rPr>
      </w:pPr>
    </w:p>
    <w:p w14:paraId="10EDE1EF">
      <w:pPr>
        <w:autoSpaceDE/>
        <w:autoSpaceDN/>
        <w:spacing w:line="400" w:lineRule="exact"/>
        <w:ind w:firstLine="420"/>
        <w:rPr>
          <w:color w:val="auto"/>
        </w:rPr>
      </w:pPr>
      <w:r>
        <w:rPr>
          <w:rFonts w:hint="eastAsia"/>
          <w:color w:val="auto"/>
        </w:rPr>
        <w:t>1．我方已仔细研究了</w:t>
      </w:r>
      <w:r>
        <w:rPr>
          <w:rFonts w:hint="eastAsia"/>
          <w:color w:val="auto"/>
          <w:u w:val="single"/>
        </w:rPr>
        <w:t xml:space="preserve">          </w:t>
      </w:r>
      <w:r>
        <w:rPr>
          <w:rFonts w:hint="eastAsia"/>
          <w:color w:val="auto"/>
        </w:rPr>
        <w:t>（项目名称）询比文件的全部内容，愿意以人民币大写</w:t>
      </w:r>
      <w:r>
        <w:rPr>
          <w:rFonts w:hint="eastAsia"/>
          <w:color w:val="auto"/>
          <w:u w:val="single"/>
        </w:rPr>
        <w:t xml:space="preserve">         </w:t>
      </w:r>
      <w:r>
        <w:rPr>
          <w:rFonts w:hint="eastAsia"/>
          <w:color w:val="auto"/>
        </w:rPr>
        <w:t>（小写：</w:t>
      </w:r>
      <w:r>
        <w:rPr>
          <w:rFonts w:hint="eastAsia"/>
          <w:color w:val="auto"/>
          <w:u w:val="single"/>
        </w:rPr>
        <w:t xml:space="preserve">       </w:t>
      </w:r>
      <w:r>
        <w:rPr>
          <w:rFonts w:hint="eastAsia"/>
          <w:color w:val="auto"/>
        </w:rPr>
        <w:t>元）的含税响应报价，其中增值税税率为</w:t>
      </w:r>
      <w:r>
        <w:rPr>
          <w:rFonts w:hint="eastAsia"/>
          <w:color w:val="auto"/>
          <w:u w:val="single"/>
        </w:rPr>
        <w:t xml:space="preserve">   </w:t>
      </w:r>
      <w:r>
        <w:rPr>
          <w:rFonts w:hint="eastAsia"/>
          <w:color w:val="auto"/>
        </w:rPr>
        <w:t>%；不含税响应报价为人民币大写</w:t>
      </w:r>
      <w:r>
        <w:rPr>
          <w:rFonts w:hint="eastAsia"/>
          <w:color w:val="auto"/>
          <w:u w:val="single"/>
        </w:rPr>
        <w:t xml:space="preserve">         </w:t>
      </w:r>
      <w:r>
        <w:rPr>
          <w:rFonts w:hint="eastAsia"/>
          <w:color w:val="auto"/>
        </w:rPr>
        <w:t>（小写：</w:t>
      </w:r>
      <w:r>
        <w:rPr>
          <w:rFonts w:hint="eastAsia"/>
          <w:color w:val="auto"/>
          <w:u w:val="single"/>
        </w:rPr>
        <w:t xml:space="preserve">       </w:t>
      </w:r>
      <w:r>
        <w:rPr>
          <w:rFonts w:hint="eastAsia"/>
          <w:color w:val="auto"/>
        </w:rPr>
        <w:t>元），免费维保期为</w:t>
      </w:r>
      <w:r>
        <w:rPr>
          <w:rFonts w:hint="eastAsia"/>
          <w:color w:val="auto"/>
          <w:u w:val="single"/>
        </w:rPr>
        <w:t xml:space="preserve">     </w:t>
      </w:r>
      <w:r>
        <w:rPr>
          <w:rFonts w:hint="eastAsia"/>
          <w:color w:val="auto"/>
        </w:rPr>
        <w:t>，免费维保期后的维保费率为</w:t>
      </w:r>
      <w:r>
        <w:rPr>
          <w:rFonts w:hint="eastAsia"/>
          <w:color w:val="auto"/>
          <w:u w:val="single"/>
        </w:rPr>
        <w:t xml:space="preserve">      </w:t>
      </w:r>
      <w:r>
        <w:rPr>
          <w:rFonts w:hint="eastAsia"/>
          <w:color w:val="auto"/>
        </w:rPr>
        <w:t>，满足询比文件</w:t>
      </w:r>
      <w:r>
        <w:rPr>
          <w:color w:val="auto"/>
        </w:rPr>
        <w:t>第二章“</w:t>
      </w:r>
      <w:r>
        <w:rPr>
          <w:rFonts w:hint="eastAsia"/>
          <w:color w:val="auto"/>
        </w:rPr>
        <w:t>响应人</w:t>
      </w:r>
      <w:r>
        <w:rPr>
          <w:color w:val="auto"/>
        </w:rPr>
        <w:t>须知”第</w:t>
      </w:r>
      <w:r>
        <w:rPr>
          <w:rFonts w:hint="eastAsia"/>
          <w:color w:val="auto"/>
        </w:rPr>
        <w:t xml:space="preserve"> </w:t>
      </w:r>
      <w:r>
        <w:rPr>
          <w:color w:val="auto"/>
        </w:rPr>
        <w:t>1.3</w:t>
      </w:r>
      <w:r>
        <w:rPr>
          <w:rFonts w:hint="eastAsia"/>
          <w:color w:val="auto"/>
        </w:rPr>
        <w:t xml:space="preserve"> </w:t>
      </w:r>
      <w:r>
        <w:rPr>
          <w:color w:val="auto"/>
        </w:rPr>
        <w:t>项</w:t>
      </w:r>
      <w:r>
        <w:rPr>
          <w:rFonts w:hint="eastAsia"/>
          <w:color w:val="auto"/>
        </w:rPr>
        <w:t>全部</w:t>
      </w:r>
      <w:r>
        <w:rPr>
          <w:color w:val="auto"/>
        </w:rPr>
        <w:t>要求</w:t>
      </w:r>
      <w:r>
        <w:rPr>
          <w:rFonts w:hint="eastAsia"/>
          <w:color w:val="auto"/>
        </w:rPr>
        <w:t>，按合同约定完成本项目。</w:t>
      </w:r>
    </w:p>
    <w:p w14:paraId="7CB29075">
      <w:pPr>
        <w:autoSpaceDE/>
        <w:autoSpaceDN/>
        <w:spacing w:line="400" w:lineRule="exact"/>
        <w:ind w:firstLine="420"/>
        <w:rPr>
          <w:color w:val="auto"/>
        </w:rPr>
      </w:pPr>
      <w:r>
        <w:rPr>
          <w:rFonts w:hint="eastAsia"/>
          <w:color w:val="auto"/>
        </w:rPr>
        <w:t>2．</w:t>
      </w:r>
      <w:r>
        <w:rPr>
          <w:color w:val="auto"/>
        </w:rPr>
        <w:t>我方承诺</w:t>
      </w:r>
      <w:r>
        <w:rPr>
          <w:rFonts w:hint="eastAsia"/>
          <w:color w:val="auto"/>
        </w:rPr>
        <w:t>符合询比文件</w:t>
      </w:r>
      <w:r>
        <w:rPr>
          <w:color w:val="auto"/>
        </w:rPr>
        <w:t>第四章“合同条款及格式”</w:t>
      </w:r>
      <w:r>
        <w:rPr>
          <w:rFonts w:hint="eastAsia"/>
          <w:color w:val="auto"/>
        </w:rPr>
        <w:t>中的实质性要求和条件，响应文件中没有贵单位不能接受的条件。</w:t>
      </w:r>
    </w:p>
    <w:p w14:paraId="3EDD72EE">
      <w:pPr>
        <w:autoSpaceDE/>
        <w:autoSpaceDN/>
        <w:spacing w:line="400" w:lineRule="exact"/>
        <w:ind w:firstLine="420"/>
        <w:rPr>
          <w:color w:val="auto"/>
        </w:rPr>
      </w:pPr>
      <w:r>
        <w:rPr>
          <w:rFonts w:hint="eastAsia"/>
          <w:color w:val="auto"/>
        </w:rPr>
        <w:t>3．</w:t>
      </w:r>
      <w:r>
        <w:rPr>
          <w:color w:val="auto"/>
        </w:rPr>
        <w:t>我方承诺</w:t>
      </w:r>
      <w:r>
        <w:rPr>
          <w:rFonts w:hint="eastAsia"/>
          <w:color w:val="auto"/>
        </w:rPr>
        <w:t>符合询比文件第五章“项目要求”规定的实质性要求。</w:t>
      </w:r>
    </w:p>
    <w:p w14:paraId="1B8F80F3">
      <w:pPr>
        <w:autoSpaceDE/>
        <w:autoSpaceDN/>
        <w:spacing w:line="400" w:lineRule="exact"/>
        <w:ind w:firstLine="420"/>
        <w:rPr>
          <w:color w:val="auto"/>
        </w:rPr>
      </w:pPr>
      <w:r>
        <w:rPr>
          <w:rFonts w:hint="eastAsia"/>
          <w:color w:val="auto"/>
        </w:rPr>
        <w:t>4．我方承诺在询比文件规定的响应有效期内不撤销响应文件，我方响应询比文件的全部要求。</w:t>
      </w:r>
    </w:p>
    <w:p w14:paraId="13CDC43B">
      <w:pPr>
        <w:autoSpaceDE/>
        <w:autoSpaceDN/>
        <w:spacing w:line="400" w:lineRule="exact"/>
        <w:ind w:firstLine="420"/>
        <w:rPr>
          <w:color w:val="auto"/>
        </w:rPr>
      </w:pPr>
      <w:r>
        <w:rPr>
          <w:rFonts w:hint="eastAsia"/>
          <w:color w:val="auto"/>
        </w:rPr>
        <w:t>5．随同本响应函提交响应保证金一份，金额为人民币大写：</w:t>
      </w:r>
      <w:r>
        <w:rPr>
          <w:rFonts w:hint="eastAsia"/>
          <w:color w:val="auto"/>
          <w:u w:val="single"/>
        </w:rPr>
        <w:t xml:space="preserve">          </w:t>
      </w:r>
      <w:r>
        <w:rPr>
          <w:rFonts w:hint="eastAsia"/>
          <w:color w:val="auto"/>
        </w:rPr>
        <w:t>（小写：</w:t>
      </w:r>
      <w:r>
        <w:rPr>
          <w:rFonts w:hint="eastAsia"/>
          <w:color w:val="auto"/>
          <w:u w:val="single"/>
        </w:rPr>
        <w:t xml:space="preserve">          </w:t>
      </w:r>
      <w:r>
        <w:rPr>
          <w:rFonts w:hint="eastAsia"/>
          <w:color w:val="auto"/>
        </w:rPr>
        <w:t>）。</w:t>
      </w:r>
    </w:p>
    <w:p w14:paraId="13ED57C6">
      <w:pPr>
        <w:autoSpaceDE/>
        <w:autoSpaceDN/>
        <w:spacing w:line="400" w:lineRule="exact"/>
        <w:ind w:firstLine="420"/>
        <w:rPr>
          <w:color w:val="auto"/>
        </w:rPr>
      </w:pPr>
      <w:r>
        <w:rPr>
          <w:rFonts w:hint="eastAsia"/>
          <w:color w:val="auto"/>
        </w:rPr>
        <w:t>6．如我方成交，我方承诺：</w:t>
      </w:r>
    </w:p>
    <w:p w14:paraId="122F9410">
      <w:pPr>
        <w:autoSpaceDE/>
        <w:autoSpaceDN/>
        <w:spacing w:line="400" w:lineRule="exact"/>
        <w:ind w:firstLine="420"/>
        <w:rPr>
          <w:color w:val="auto"/>
        </w:rPr>
      </w:pPr>
      <w:r>
        <w:rPr>
          <w:rFonts w:hint="eastAsia"/>
          <w:color w:val="auto"/>
        </w:rPr>
        <w:t>（1）在收到成交通知书后，在成交通知书规定的期限内与你方签订合同；</w:t>
      </w:r>
    </w:p>
    <w:p w14:paraId="214B5327">
      <w:pPr>
        <w:autoSpaceDE/>
        <w:autoSpaceDN/>
        <w:spacing w:line="400" w:lineRule="exact"/>
        <w:ind w:firstLine="420"/>
        <w:rPr>
          <w:color w:val="auto"/>
        </w:rPr>
      </w:pPr>
      <w:r>
        <w:rPr>
          <w:rFonts w:hint="eastAsia"/>
          <w:color w:val="auto"/>
        </w:rPr>
        <w:t>（2）在签订合同时不向你方提出附加条件；</w:t>
      </w:r>
    </w:p>
    <w:p w14:paraId="241BD362">
      <w:pPr>
        <w:autoSpaceDE/>
        <w:autoSpaceDN/>
        <w:spacing w:line="400" w:lineRule="exact"/>
        <w:ind w:firstLine="420"/>
        <w:rPr>
          <w:color w:val="auto"/>
        </w:rPr>
      </w:pPr>
      <w:r>
        <w:rPr>
          <w:rFonts w:hint="eastAsia"/>
          <w:color w:val="auto"/>
        </w:rPr>
        <w:t>（3）按照询比文件要求提交履约担保；</w:t>
      </w:r>
    </w:p>
    <w:p w14:paraId="2DC9CD92">
      <w:pPr>
        <w:autoSpaceDE/>
        <w:autoSpaceDN/>
        <w:spacing w:line="400" w:lineRule="exact"/>
        <w:ind w:firstLine="420"/>
        <w:rPr>
          <w:color w:val="auto"/>
        </w:rPr>
      </w:pPr>
      <w:r>
        <w:rPr>
          <w:rFonts w:hint="eastAsia"/>
          <w:color w:val="auto"/>
        </w:rPr>
        <w:t>（4）在合同约定的期限内完成合同规定的全部义务。</w:t>
      </w:r>
    </w:p>
    <w:p w14:paraId="4A77ED66">
      <w:pPr>
        <w:autoSpaceDE/>
        <w:autoSpaceDN/>
        <w:spacing w:line="400" w:lineRule="exact"/>
        <w:ind w:firstLine="420"/>
        <w:rPr>
          <w:color w:val="auto"/>
        </w:rPr>
      </w:pPr>
      <w:r>
        <w:rPr>
          <w:rFonts w:hint="eastAsia"/>
          <w:color w:val="auto"/>
        </w:rPr>
        <w:t>7．我方在此声明，所递交的响应文件及有关资料内容完整、真实和准确，且不存在第二章“响应人须知”第 1.4.3 项规定的任何一种情形。</w:t>
      </w:r>
    </w:p>
    <w:p w14:paraId="1B2397FE">
      <w:pPr>
        <w:autoSpaceDE/>
        <w:autoSpaceDN/>
        <w:spacing w:line="400" w:lineRule="exact"/>
        <w:ind w:firstLine="420"/>
        <w:rPr>
          <w:color w:val="auto"/>
        </w:rPr>
      </w:pPr>
      <w:r>
        <w:rPr>
          <w:rFonts w:hint="eastAsia"/>
          <w:color w:val="auto"/>
        </w:rPr>
        <w:t>8．</w:t>
      </w:r>
      <w:r>
        <w:rPr>
          <w:rFonts w:hint="eastAsia"/>
          <w:color w:val="auto"/>
          <w:u w:val="single"/>
        </w:rPr>
        <w:t xml:space="preserve">                </w:t>
      </w:r>
      <w:r>
        <w:rPr>
          <w:rFonts w:hint="eastAsia"/>
          <w:color w:val="auto"/>
        </w:rPr>
        <w:t>（其他补充说明）。</w:t>
      </w:r>
    </w:p>
    <w:p w14:paraId="6AECC0CF">
      <w:pPr>
        <w:autoSpaceDE/>
        <w:autoSpaceDN/>
        <w:spacing w:line="400" w:lineRule="exact"/>
        <w:ind w:firstLine="420"/>
        <w:rPr>
          <w:color w:val="auto"/>
        </w:rPr>
      </w:pPr>
    </w:p>
    <w:p w14:paraId="79659E63">
      <w:pPr>
        <w:autoSpaceDE/>
        <w:autoSpaceDN/>
        <w:spacing w:line="400" w:lineRule="exact"/>
        <w:ind w:firstLine="420"/>
        <w:rPr>
          <w:color w:val="auto"/>
        </w:rPr>
      </w:pPr>
      <w:r>
        <w:rPr>
          <w:rFonts w:hint="eastAsia"/>
          <w:color w:val="auto"/>
        </w:rPr>
        <w:t>响应</w:t>
      </w:r>
      <w:r>
        <w:rPr>
          <w:color w:val="auto"/>
        </w:rPr>
        <w:t>人：</w:t>
      </w:r>
      <w:r>
        <w:rPr>
          <w:color w:val="auto"/>
          <w:u w:val="single"/>
        </w:rPr>
        <w:t xml:space="preserve">                　　　　　 </w:t>
      </w:r>
      <w:r>
        <w:rPr>
          <w:rFonts w:hint="eastAsia"/>
          <w:color w:val="auto"/>
          <w:u w:val="single"/>
        </w:rPr>
        <w:t xml:space="preserve">       </w:t>
      </w:r>
      <w:r>
        <w:rPr>
          <w:color w:val="auto"/>
          <w:u w:val="single"/>
        </w:rPr>
        <w:t xml:space="preserve">   </w:t>
      </w:r>
      <w:r>
        <w:rPr>
          <w:rFonts w:hint="eastAsia"/>
          <w:color w:val="auto"/>
          <w:u w:val="single"/>
        </w:rPr>
        <w:t xml:space="preserve"> </w:t>
      </w:r>
      <w:r>
        <w:rPr>
          <w:rFonts w:hint="eastAsia"/>
          <w:color w:val="auto"/>
        </w:rPr>
        <w:t xml:space="preserve"> </w:t>
      </w:r>
      <w:r>
        <w:rPr>
          <w:color w:val="auto"/>
        </w:rPr>
        <w:t>（</w:t>
      </w:r>
      <w:r>
        <w:rPr>
          <w:rFonts w:hint="eastAsia"/>
          <w:color w:val="auto"/>
        </w:rPr>
        <w:t>盖单位公章</w:t>
      </w:r>
      <w:r>
        <w:rPr>
          <w:color w:val="auto"/>
        </w:rPr>
        <w:t xml:space="preserve">） </w:t>
      </w:r>
    </w:p>
    <w:p w14:paraId="34937FA5">
      <w:pPr>
        <w:autoSpaceDE/>
        <w:autoSpaceDN/>
        <w:spacing w:line="400" w:lineRule="exact"/>
        <w:ind w:firstLine="420"/>
        <w:rPr>
          <w:color w:val="auto"/>
        </w:rPr>
      </w:pPr>
      <w:r>
        <w:rPr>
          <w:color w:val="auto"/>
        </w:rPr>
        <w:t>法定代表人</w:t>
      </w:r>
      <w:r>
        <w:rPr>
          <w:rFonts w:hint="eastAsia"/>
          <w:color w:val="auto"/>
        </w:rPr>
        <w:t>或其委托代理人</w:t>
      </w:r>
      <w:r>
        <w:rPr>
          <w:color w:val="auto"/>
        </w:rPr>
        <w:t>：</w:t>
      </w:r>
      <w:r>
        <w:rPr>
          <w:color w:val="auto"/>
          <w:u w:val="single"/>
        </w:rPr>
        <w:t xml:space="preserve">      </w:t>
      </w:r>
      <w:r>
        <w:rPr>
          <w:rFonts w:hint="eastAsia"/>
          <w:color w:val="auto"/>
          <w:u w:val="single"/>
        </w:rPr>
        <w:t xml:space="preserve">      </w:t>
      </w:r>
      <w:r>
        <w:rPr>
          <w:color w:val="auto"/>
          <w:u w:val="single"/>
        </w:rPr>
        <w:t xml:space="preserve">     </w:t>
      </w:r>
      <w:r>
        <w:rPr>
          <w:rFonts w:hint="eastAsia"/>
          <w:color w:val="auto"/>
          <w:u w:val="single"/>
        </w:rPr>
        <w:t xml:space="preserve">    </w:t>
      </w:r>
      <w:r>
        <w:rPr>
          <w:color w:val="auto"/>
          <w:u w:val="single"/>
        </w:rPr>
        <w:t xml:space="preserve">   </w:t>
      </w:r>
      <w:r>
        <w:rPr>
          <w:rFonts w:hint="eastAsia"/>
          <w:color w:val="auto"/>
          <w:u w:val="single"/>
        </w:rPr>
        <w:t xml:space="preserve">  </w:t>
      </w:r>
      <w:r>
        <w:rPr>
          <w:rFonts w:hint="eastAsia"/>
          <w:color w:val="auto"/>
        </w:rPr>
        <w:t xml:space="preserve"> </w:t>
      </w:r>
      <w:r>
        <w:rPr>
          <w:color w:val="auto"/>
        </w:rPr>
        <w:t>（</w:t>
      </w:r>
      <w:r>
        <w:rPr>
          <w:rFonts w:hint="eastAsia"/>
          <w:color w:val="auto"/>
        </w:rPr>
        <w:t>签名</w:t>
      </w:r>
      <w:r>
        <w:rPr>
          <w:color w:val="auto"/>
        </w:rPr>
        <w:t>）</w:t>
      </w:r>
    </w:p>
    <w:p w14:paraId="42C8DB1C">
      <w:pPr>
        <w:autoSpaceDE/>
        <w:autoSpaceDN/>
        <w:spacing w:line="400" w:lineRule="exact"/>
        <w:ind w:firstLine="420"/>
        <w:rPr>
          <w:color w:val="auto"/>
        </w:rPr>
      </w:pPr>
      <w:r>
        <w:rPr>
          <w:color w:val="auto"/>
        </w:rPr>
        <w:t>地</w:t>
      </w:r>
      <w:r>
        <w:rPr>
          <w:rFonts w:hint="eastAsia"/>
          <w:color w:val="auto"/>
        </w:rPr>
        <w:t xml:space="preserve">    </w:t>
      </w:r>
      <w:r>
        <w:rPr>
          <w:color w:val="auto"/>
        </w:rPr>
        <w:t>址：</w:t>
      </w:r>
      <w:r>
        <w:rPr>
          <w:color w:val="auto"/>
          <w:u w:val="single"/>
        </w:rPr>
        <w:t xml:space="preserve">     </w:t>
      </w:r>
      <w:r>
        <w:rPr>
          <w:rFonts w:hint="eastAsia"/>
          <w:color w:val="auto"/>
          <w:u w:val="single"/>
        </w:rPr>
        <w:t xml:space="preserve">                                                     </w:t>
      </w:r>
      <w:r>
        <w:rPr>
          <w:rFonts w:hint="eastAsia"/>
          <w:color w:val="auto"/>
        </w:rPr>
        <w:t xml:space="preserve">            </w:t>
      </w:r>
      <w:r>
        <w:rPr>
          <w:color w:val="auto"/>
        </w:rPr>
        <w:t xml:space="preserve">      </w:t>
      </w:r>
    </w:p>
    <w:p w14:paraId="65C5DC4E">
      <w:pPr>
        <w:autoSpaceDE/>
        <w:autoSpaceDN/>
        <w:spacing w:line="400" w:lineRule="exact"/>
        <w:ind w:firstLine="420"/>
        <w:rPr>
          <w:color w:val="auto"/>
        </w:rPr>
      </w:pPr>
      <w:r>
        <w:rPr>
          <w:rFonts w:hint="eastAsia"/>
          <w:color w:val="auto"/>
        </w:rPr>
        <w:t>单位电话（座机）：</w:t>
      </w:r>
      <w:r>
        <w:rPr>
          <w:rFonts w:hint="eastAsia"/>
          <w:color w:val="auto"/>
          <w:u w:val="single"/>
        </w:rPr>
        <w:t xml:space="preserve">          </w:t>
      </w:r>
      <w:r>
        <w:rPr>
          <w:rFonts w:hint="eastAsia"/>
          <w:color w:val="auto"/>
        </w:rPr>
        <w:t xml:space="preserve"> 委托代理人电话（手机）：</w:t>
      </w:r>
      <w:r>
        <w:rPr>
          <w:color w:val="auto"/>
          <w:u w:val="single"/>
        </w:rPr>
        <w:t xml:space="preserve">     </w:t>
      </w:r>
      <w:r>
        <w:rPr>
          <w:rFonts w:hint="eastAsia"/>
          <w:color w:val="auto"/>
          <w:u w:val="single"/>
        </w:rPr>
        <w:t xml:space="preserve">           </w:t>
      </w:r>
      <w:r>
        <w:rPr>
          <w:rFonts w:hint="eastAsia"/>
          <w:color w:val="auto"/>
        </w:rPr>
        <w:t xml:space="preserve">      </w:t>
      </w:r>
    </w:p>
    <w:p w14:paraId="03300159">
      <w:pPr>
        <w:autoSpaceDE/>
        <w:autoSpaceDN/>
        <w:spacing w:line="400" w:lineRule="exact"/>
        <w:ind w:firstLine="420"/>
        <w:rPr>
          <w:color w:val="auto"/>
        </w:rPr>
      </w:pPr>
    </w:p>
    <w:p w14:paraId="404C5F38">
      <w:pPr>
        <w:autoSpaceDE/>
        <w:autoSpaceDN/>
        <w:spacing w:line="400" w:lineRule="exact"/>
        <w:ind w:firstLine="420"/>
        <w:jc w:val="right"/>
        <w:rPr>
          <w:color w:val="auto"/>
          <w:u w:val="single"/>
        </w:rPr>
      </w:pPr>
      <w:r>
        <w:rPr>
          <w:rFonts w:hint="eastAsia"/>
          <w:color w:val="auto"/>
          <w:u w:val="single"/>
        </w:rPr>
        <w:tab/>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bookmarkEnd w:id="1076"/>
    <w:bookmarkEnd w:id="1077"/>
    <w:bookmarkEnd w:id="1078"/>
    <w:bookmarkEnd w:id="1079"/>
    <w:bookmarkEnd w:id="1080"/>
    <w:bookmarkEnd w:id="1081"/>
    <w:bookmarkEnd w:id="1082"/>
    <w:bookmarkEnd w:id="1083"/>
    <w:bookmarkEnd w:id="1084"/>
    <w:p w14:paraId="2D6CFD97">
      <w:pPr>
        <w:ind w:firstLine="420"/>
        <w:rPr>
          <w:color w:val="auto"/>
        </w:rPr>
      </w:pPr>
      <w:bookmarkStart w:id="1085" w:name="_Toc144974859"/>
      <w:bookmarkStart w:id="1086" w:name="_Toc152042579"/>
      <w:bookmarkStart w:id="1087" w:name="_Toc246997101"/>
      <w:bookmarkStart w:id="1088" w:name="_Toc179632810"/>
      <w:bookmarkStart w:id="1089" w:name="_Toc247085876"/>
      <w:bookmarkStart w:id="1090" w:name="_Toc296602604"/>
      <w:bookmarkStart w:id="1091" w:name="_Toc152045790"/>
      <w:bookmarkStart w:id="1092" w:name="_Toc246996358"/>
      <w:bookmarkStart w:id="1093" w:name="_Toc18396"/>
      <w:bookmarkStart w:id="1094" w:name="_Toc30251"/>
      <w:bookmarkStart w:id="1095" w:name="_Toc287607869"/>
      <w:bookmarkStart w:id="1096" w:name="_Toc14056"/>
      <w:bookmarkStart w:id="1097" w:name="_Toc287620816"/>
      <w:bookmarkStart w:id="1098" w:name="_Toc224103497"/>
      <w:bookmarkStart w:id="1099" w:name="_Toc430530532"/>
      <w:bookmarkStart w:id="1100" w:name="_Toc277082645"/>
      <w:r>
        <w:rPr>
          <w:rFonts w:hint="eastAsia"/>
          <w:color w:val="auto"/>
        </w:rPr>
        <w:br w:type="page"/>
      </w:r>
    </w:p>
    <w:bookmarkEnd w:id="1085"/>
    <w:bookmarkEnd w:id="1086"/>
    <w:bookmarkEnd w:id="1087"/>
    <w:bookmarkEnd w:id="1088"/>
    <w:bookmarkEnd w:id="1089"/>
    <w:bookmarkEnd w:id="1090"/>
    <w:bookmarkEnd w:id="1091"/>
    <w:bookmarkEnd w:id="1092"/>
    <w:p w14:paraId="0416DE63">
      <w:pPr>
        <w:spacing w:line="440" w:lineRule="exact"/>
        <w:ind w:left="840" w:leftChars="400" w:firstLine="2310" w:firstLineChars="1100"/>
        <w:jc w:val="right"/>
        <w:rPr>
          <w:rFonts w:hint="eastAsia" w:ascii="宋体" w:hAnsi="宋体" w:cs="宋体"/>
          <w:color w:val="auto"/>
          <w:szCs w:val="21"/>
        </w:rPr>
      </w:pPr>
      <w:bookmarkStart w:id="1101" w:name="_Toc13289"/>
      <w:bookmarkStart w:id="1102" w:name="_Toc3034"/>
      <w:bookmarkStart w:id="1103" w:name="_Toc28529"/>
      <w:bookmarkStart w:id="1104" w:name="_Toc23447"/>
      <w:bookmarkStart w:id="1105" w:name="_Toc21394"/>
      <w:bookmarkStart w:id="1106" w:name="_Toc5833"/>
      <w:bookmarkStart w:id="1107" w:name="_Toc26350"/>
      <w:bookmarkStart w:id="1108" w:name="_Toc26709"/>
      <w:bookmarkStart w:id="1109" w:name="_Toc5193"/>
    </w:p>
    <w:p w14:paraId="40FD019B">
      <w:pPr>
        <w:pStyle w:val="38"/>
        <w:rPr>
          <w:rFonts w:hint="default"/>
          <w:color w:val="auto"/>
        </w:rPr>
      </w:pPr>
      <w:r>
        <w:rPr>
          <w:color w:val="auto"/>
        </w:rPr>
        <w:t>二、法定代表人身份证明或授权委托书</w:t>
      </w:r>
      <w:bookmarkEnd w:id="1093"/>
      <w:bookmarkEnd w:id="1094"/>
      <w:bookmarkEnd w:id="1101"/>
      <w:bookmarkEnd w:id="1102"/>
      <w:bookmarkEnd w:id="1103"/>
      <w:bookmarkEnd w:id="1104"/>
      <w:bookmarkEnd w:id="1105"/>
      <w:bookmarkEnd w:id="1106"/>
      <w:bookmarkEnd w:id="1107"/>
      <w:bookmarkEnd w:id="1108"/>
      <w:bookmarkEnd w:id="1109"/>
    </w:p>
    <w:p w14:paraId="6BC7AC67">
      <w:pPr>
        <w:pStyle w:val="40"/>
        <w:rPr>
          <w:color w:val="auto"/>
        </w:rPr>
      </w:pPr>
      <w:bookmarkStart w:id="1110" w:name="_Toc5115"/>
      <w:bookmarkStart w:id="1111" w:name="_Toc12161"/>
      <w:bookmarkStart w:id="1112" w:name="_Toc9705"/>
      <w:bookmarkStart w:id="1113" w:name="_Toc23627"/>
      <w:bookmarkStart w:id="1114" w:name="_Toc820"/>
      <w:bookmarkStart w:id="1115" w:name="_Toc20857"/>
      <w:r>
        <w:rPr>
          <w:color w:val="auto"/>
        </w:rPr>
        <w:t>法定代表人身份证明</w:t>
      </w:r>
      <w:bookmarkEnd w:id="1110"/>
      <w:bookmarkEnd w:id="1111"/>
      <w:bookmarkEnd w:id="1112"/>
      <w:bookmarkEnd w:id="1113"/>
      <w:bookmarkEnd w:id="1114"/>
      <w:bookmarkEnd w:id="1115"/>
    </w:p>
    <w:p w14:paraId="1FF4A8A2">
      <w:pPr>
        <w:ind w:firstLine="420"/>
        <w:rPr>
          <w:color w:val="auto"/>
        </w:rPr>
      </w:pPr>
    </w:p>
    <w:p w14:paraId="786E887E">
      <w:pPr>
        <w:ind w:firstLine="420"/>
        <w:rPr>
          <w:color w:val="auto"/>
          <w:u w:val="single"/>
        </w:rPr>
      </w:pPr>
      <w:r>
        <w:rPr>
          <w:rFonts w:hint="eastAsia"/>
          <w:color w:val="auto"/>
        </w:rPr>
        <w:t>响应人</w:t>
      </w:r>
      <w:r>
        <w:rPr>
          <w:color w:val="auto"/>
        </w:rPr>
        <w:t>名称：</w:t>
      </w:r>
      <w:r>
        <w:rPr>
          <w:color w:val="auto"/>
          <w:u w:val="single"/>
        </w:rPr>
        <w:t xml:space="preserve"> </w:t>
      </w:r>
      <w:r>
        <w:rPr>
          <w:rFonts w:hint="eastAsia"/>
          <w:color w:val="auto"/>
          <w:u w:val="single"/>
        </w:rPr>
        <w:t xml:space="preserve">                                    </w:t>
      </w:r>
    </w:p>
    <w:p w14:paraId="48605965">
      <w:pPr>
        <w:ind w:firstLine="420"/>
        <w:rPr>
          <w:color w:val="auto"/>
          <w:u w:val="single"/>
        </w:rPr>
      </w:pPr>
      <w:r>
        <w:rPr>
          <w:color w:val="auto"/>
        </w:rPr>
        <w:t>姓名：</w:t>
      </w:r>
      <w:r>
        <w:rPr>
          <w:color w:val="auto"/>
          <w:u w:val="single"/>
        </w:rPr>
        <w:t xml:space="preserve"> </w:t>
      </w:r>
      <w:r>
        <w:rPr>
          <w:rFonts w:hint="eastAsia"/>
          <w:color w:val="auto"/>
          <w:u w:val="single"/>
        </w:rPr>
        <w:t xml:space="preserve">       </w:t>
      </w:r>
      <w:r>
        <w:rPr>
          <w:color w:val="auto"/>
        </w:rPr>
        <w:t>性别：</w:t>
      </w:r>
      <w:r>
        <w:rPr>
          <w:rFonts w:hint="eastAsia"/>
          <w:color w:val="auto"/>
          <w:u w:val="single"/>
        </w:rPr>
        <w:t xml:space="preserve">      </w:t>
      </w:r>
      <w:r>
        <w:rPr>
          <w:color w:val="auto"/>
          <w:u w:val="single"/>
        </w:rPr>
        <w:t xml:space="preserve"> </w:t>
      </w:r>
      <w:r>
        <w:rPr>
          <w:color w:val="auto"/>
        </w:rPr>
        <w:t>年龄：</w:t>
      </w:r>
      <w:r>
        <w:rPr>
          <w:rFonts w:hint="eastAsia"/>
          <w:color w:val="auto"/>
          <w:u w:val="single"/>
        </w:rPr>
        <w:t xml:space="preserve">      </w:t>
      </w:r>
      <w:r>
        <w:rPr>
          <w:color w:val="auto"/>
          <w:u w:val="single"/>
        </w:rPr>
        <w:t xml:space="preserve"> </w:t>
      </w:r>
      <w:r>
        <w:rPr>
          <w:color w:val="auto"/>
        </w:rPr>
        <w:t>职务：</w:t>
      </w:r>
      <w:r>
        <w:rPr>
          <w:rFonts w:hint="eastAsia"/>
          <w:color w:val="auto"/>
          <w:u w:val="single"/>
        </w:rPr>
        <w:t xml:space="preserve">              </w:t>
      </w:r>
      <w:r>
        <w:rPr>
          <w:color w:val="auto"/>
          <w:u w:val="single"/>
        </w:rPr>
        <w:t xml:space="preserve"> </w:t>
      </w:r>
    </w:p>
    <w:p w14:paraId="60E75239">
      <w:pPr>
        <w:ind w:firstLine="420"/>
        <w:rPr>
          <w:color w:val="auto"/>
        </w:rPr>
      </w:pPr>
      <w:r>
        <w:rPr>
          <w:color w:val="auto"/>
          <w:u w:val="single"/>
        </w:rPr>
        <w:t>系</w:t>
      </w:r>
      <w:r>
        <w:rPr>
          <w:rFonts w:hint="eastAsia"/>
          <w:color w:val="auto"/>
          <w:u w:val="single"/>
        </w:rPr>
        <w:t xml:space="preserve">                           </w:t>
      </w:r>
      <w:r>
        <w:rPr>
          <w:color w:val="auto"/>
          <w:u w:val="single"/>
        </w:rPr>
        <w:t xml:space="preserve"> </w:t>
      </w:r>
      <w:r>
        <w:rPr>
          <w:color w:val="auto"/>
        </w:rPr>
        <w:t>（</w:t>
      </w:r>
      <w:r>
        <w:rPr>
          <w:rFonts w:hint="eastAsia"/>
          <w:color w:val="auto"/>
        </w:rPr>
        <w:t>响应人</w:t>
      </w:r>
      <w:r>
        <w:rPr>
          <w:color w:val="auto"/>
        </w:rPr>
        <w:t>名称）的法定代表人。</w:t>
      </w:r>
    </w:p>
    <w:p w14:paraId="2CFA3C92">
      <w:pPr>
        <w:ind w:firstLine="420"/>
        <w:rPr>
          <w:color w:val="auto"/>
        </w:rPr>
      </w:pPr>
      <w:r>
        <w:rPr>
          <w:color w:val="auto"/>
        </w:rPr>
        <w:t>特此证明。</w:t>
      </w:r>
    </w:p>
    <w:p w14:paraId="4C58B462">
      <w:pPr>
        <w:ind w:firstLine="420"/>
        <w:rPr>
          <w:color w:val="auto"/>
        </w:rPr>
      </w:pPr>
      <w:r>
        <w:rPr>
          <w:rFonts w:hint="eastAsia"/>
          <w:color w:val="auto"/>
        </w:rPr>
        <w:t>附：法定代表人身份证扫描件（双面）</w:t>
      </w:r>
    </w:p>
    <w:p w14:paraId="715C57EB">
      <w:pPr>
        <w:ind w:firstLine="420"/>
        <w:rPr>
          <w:color w:val="auto"/>
        </w:rPr>
      </w:pPr>
    </w:p>
    <w:p w14:paraId="792A6B2D">
      <w:pPr>
        <w:ind w:firstLine="420"/>
        <w:rPr>
          <w:color w:val="auto"/>
        </w:rPr>
      </w:pPr>
    </w:p>
    <w:p w14:paraId="4CCEF29B">
      <w:pPr>
        <w:ind w:firstLine="420"/>
        <w:rPr>
          <w:color w:val="auto"/>
        </w:rPr>
      </w:pPr>
    </w:p>
    <w:p w14:paraId="005540A9">
      <w:pPr>
        <w:ind w:firstLine="420"/>
        <w:rPr>
          <w:color w:val="auto"/>
        </w:rPr>
      </w:pPr>
    </w:p>
    <w:p w14:paraId="0AB370BF">
      <w:pPr>
        <w:ind w:firstLine="420"/>
        <w:rPr>
          <w:color w:val="auto"/>
        </w:rPr>
      </w:pPr>
    </w:p>
    <w:p w14:paraId="428630BA">
      <w:pPr>
        <w:ind w:firstLine="420"/>
        <w:rPr>
          <w:color w:val="auto"/>
        </w:rPr>
      </w:pPr>
    </w:p>
    <w:p w14:paraId="112D5497">
      <w:pPr>
        <w:ind w:firstLine="420"/>
        <w:rPr>
          <w:color w:val="auto"/>
        </w:rPr>
      </w:pPr>
    </w:p>
    <w:p w14:paraId="4ED3C76F">
      <w:pPr>
        <w:ind w:firstLine="420"/>
        <w:rPr>
          <w:color w:val="auto"/>
        </w:rPr>
      </w:pPr>
    </w:p>
    <w:p w14:paraId="43633A62">
      <w:pPr>
        <w:ind w:firstLine="420"/>
        <w:jc w:val="right"/>
        <w:rPr>
          <w:color w:val="auto"/>
        </w:rPr>
      </w:pPr>
      <w:r>
        <w:rPr>
          <w:rFonts w:hint="eastAsia"/>
          <w:color w:val="auto"/>
        </w:rPr>
        <w:t>响应人：</w:t>
      </w:r>
      <w:r>
        <w:rPr>
          <w:rFonts w:hint="eastAsia"/>
          <w:color w:val="auto"/>
          <w:u w:val="single"/>
        </w:rPr>
        <w:t xml:space="preserve">           </w:t>
      </w:r>
      <w:r>
        <w:rPr>
          <w:rFonts w:hint="eastAsia"/>
          <w:color w:val="auto"/>
        </w:rPr>
        <w:t>（盖单位公章）</w:t>
      </w:r>
    </w:p>
    <w:p w14:paraId="27675E7F">
      <w:pPr>
        <w:ind w:firstLine="420"/>
        <w:jc w:val="right"/>
        <w:rPr>
          <w:color w:val="auto"/>
        </w:rPr>
      </w:pPr>
    </w:p>
    <w:p w14:paraId="26E24FCE">
      <w:pPr>
        <w:ind w:firstLine="420"/>
        <w:jc w:val="right"/>
        <w:rPr>
          <w:color w:val="auto"/>
        </w:rPr>
      </w:pP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 xml:space="preserve">日  </w:t>
      </w:r>
    </w:p>
    <w:p w14:paraId="7F038013">
      <w:pPr>
        <w:ind w:firstLine="420"/>
        <w:rPr>
          <w:color w:val="auto"/>
        </w:rPr>
      </w:pPr>
    </w:p>
    <w:p w14:paraId="655B8DC6">
      <w:pPr>
        <w:ind w:firstLine="420"/>
        <w:rPr>
          <w:color w:val="auto"/>
        </w:rPr>
      </w:pPr>
    </w:p>
    <w:p w14:paraId="0A5D0020">
      <w:pPr>
        <w:ind w:firstLine="420"/>
        <w:rPr>
          <w:color w:val="auto"/>
        </w:rPr>
      </w:pPr>
      <w:r>
        <w:rPr>
          <w:rFonts w:hint="eastAsia"/>
          <w:color w:val="auto"/>
        </w:rPr>
        <w:t>注：法定代表人身份证明需按上述格式填写完整，不可缺少内容。在此基础上增加内容的不影响其有效性。</w:t>
      </w:r>
      <w:r>
        <w:rPr>
          <w:rFonts w:hint="eastAsia"/>
          <w:color w:val="auto"/>
        </w:rPr>
        <w:br w:type="page"/>
      </w:r>
    </w:p>
    <w:bookmarkEnd w:id="1095"/>
    <w:bookmarkEnd w:id="1096"/>
    <w:bookmarkEnd w:id="1097"/>
    <w:bookmarkEnd w:id="1098"/>
    <w:bookmarkEnd w:id="1099"/>
    <w:bookmarkEnd w:id="1100"/>
    <w:p w14:paraId="2EDE4737">
      <w:pPr>
        <w:pStyle w:val="40"/>
        <w:rPr>
          <w:color w:val="auto"/>
        </w:rPr>
      </w:pPr>
      <w:bookmarkStart w:id="1116" w:name="_Toc17278"/>
      <w:bookmarkStart w:id="1117" w:name="_Toc17560"/>
      <w:bookmarkStart w:id="1118" w:name="_Toc7286"/>
      <w:bookmarkStart w:id="1119" w:name="_Toc26399"/>
      <w:bookmarkStart w:id="1120" w:name="_Toc22711"/>
      <w:bookmarkStart w:id="1121" w:name="_Toc5027"/>
      <w:bookmarkStart w:id="1122" w:name="_Toc8251"/>
      <w:bookmarkStart w:id="1123" w:name="_Toc8348"/>
      <w:r>
        <w:rPr>
          <w:color w:val="auto"/>
        </w:rPr>
        <w:t>授权委托书</w:t>
      </w:r>
      <w:bookmarkEnd w:id="1116"/>
      <w:r>
        <w:rPr>
          <w:color w:val="auto"/>
        </w:rPr>
        <w:t>（如有）</w:t>
      </w:r>
      <w:bookmarkEnd w:id="1117"/>
      <w:bookmarkEnd w:id="1118"/>
      <w:bookmarkEnd w:id="1119"/>
      <w:bookmarkEnd w:id="1120"/>
      <w:bookmarkEnd w:id="1121"/>
      <w:bookmarkEnd w:id="1122"/>
    </w:p>
    <w:p w14:paraId="509F550E">
      <w:pPr>
        <w:pStyle w:val="56"/>
        <w:rPr>
          <w:color w:val="auto"/>
        </w:rPr>
      </w:pPr>
      <w:r>
        <w:rPr>
          <w:color w:val="auto"/>
        </w:rPr>
        <w:t>[提示：</w:t>
      </w:r>
      <w:r>
        <w:rPr>
          <w:rFonts w:hint="default"/>
          <w:color w:val="auto"/>
        </w:rPr>
        <w:t>适用于有委托代理人的情况</w:t>
      </w:r>
      <w:r>
        <w:rPr>
          <w:color w:val="auto"/>
        </w:rPr>
        <w:t>时采用]</w:t>
      </w:r>
    </w:p>
    <w:p w14:paraId="156FE45E">
      <w:pPr>
        <w:ind w:firstLine="420"/>
        <w:rPr>
          <w:color w:val="auto"/>
        </w:rPr>
      </w:pPr>
      <w:r>
        <w:rPr>
          <w:rFonts w:hint="eastAsia"/>
          <w:color w:val="auto"/>
        </w:rPr>
        <w:t xml:space="preserve">本人 </w:t>
      </w:r>
      <w:r>
        <w:rPr>
          <w:rFonts w:hint="eastAsia"/>
          <w:color w:val="auto"/>
          <w:u w:val="single"/>
        </w:rPr>
        <w:t xml:space="preserve">             </w:t>
      </w:r>
      <w:r>
        <w:rPr>
          <w:rFonts w:hint="eastAsia"/>
          <w:color w:val="auto"/>
        </w:rPr>
        <w:t>（姓名）系</w:t>
      </w:r>
      <w:r>
        <w:rPr>
          <w:rFonts w:hint="eastAsia"/>
          <w:color w:val="auto"/>
          <w:u w:val="single"/>
        </w:rPr>
        <w:t xml:space="preserve">                     </w:t>
      </w:r>
      <w:r>
        <w:rPr>
          <w:rFonts w:hint="eastAsia"/>
          <w:color w:val="auto"/>
        </w:rPr>
        <w:t>（响应人名称）的法定代表人，现委托</w:t>
      </w:r>
      <w:r>
        <w:rPr>
          <w:rFonts w:hint="eastAsia"/>
          <w:color w:val="auto"/>
          <w:u w:val="single"/>
        </w:rPr>
        <w:t xml:space="preserve">             </w:t>
      </w:r>
      <w:r>
        <w:rPr>
          <w:rFonts w:hint="eastAsia"/>
          <w:color w:val="auto"/>
        </w:rPr>
        <w:t>（姓名）为我方代理人。代理人根据授权，以我方名义签署、澄清、说明、补正、递交、撤回、修改</w:t>
      </w:r>
      <w:r>
        <w:rPr>
          <w:rFonts w:hint="eastAsia"/>
          <w:color w:val="auto"/>
          <w:u w:val="single"/>
        </w:rPr>
        <w:t xml:space="preserve">                                 </w:t>
      </w:r>
      <w:r>
        <w:rPr>
          <w:rFonts w:hint="eastAsia"/>
          <w:color w:val="auto"/>
        </w:rPr>
        <w:t>（项目名称）响应文件、签订合同和处理有关事宜，其法律后果由我方承担。</w:t>
      </w:r>
    </w:p>
    <w:p w14:paraId="5E811CDF">
      <w:pPr>
        <w:ind w:firstLine="420"/>
        <w:rPr>
          <w:color w:val="auto"/>
        </w:rPr>
      </w:pPr>
      <w:r>
        <w:rPr>
          <w:rFonts w:hint="eastAsia"/>
          <w:color w:val="auto"/>
        </w:rPr>
        <w:t>委托期限：</w:t>
      </w:r>
      <w:r>
        <w:rPr>
          <w:rFonts w:hint="eastAsia"/>
          <w:color w:val="auto"/>
          <w:u w:val="single"/>
        </w:rPr>
        <w:t xml:space="preserve">       </w:t>
      </w:r>
      <w:r>
        <w:rPr>
          <w:rFonts w:hint="eastAsia"/>
          <w:color w:val="auto"/>
        </w:rPr>
        <w:t xml:space="preserve"> 。</w:t>
      </w:r>
    </w:p>
    <w:p w14:paraId="30F10733">
      <w:pPr>
        <w:ind w:firstLine="420"/>
        <w:rPr>
          <w:color w:val="auto"/>
        </w:rPr>
      </w:pPr>
      <w:r>
        <w:rPr>
          <w:rFonts w:hint="eastAsia"/>
          <w:color w:val="auto"/>
        </w:rPr>
        <w:t>代理人无转委托权。</w:t>
      </w:r>
    </w:p>
    <w:p w14:paraId="010EA949">
      <w:pPr>
        <w:ind w:firstLine="420"/>
        <w:rPr>
          <w:color w:val="auto"/>
        </w:rPr>
      </w:pPr>
      <w:r>
        <w:rPr>
          <w:rFonts w:hint="eastAsia"/>
          <w:color w:val="auto"/>
        </w:rPr>
        <w:t>响应人：</w:t>
      </w:r>
      <w:r>
        <w:rPr>
          <w:rFonts w:hint="eastAsia"/>
          <w:color w:val="auto"/>
          <w:u w:val="single"/>
        </w:rPr>
        <w:t xml:space="preserve">                        </w:t>
      </w:r>
      <w:r>
        <w:rPr>
          <w:rFonts w:hint="eastAsia"/>
          <w:color w:val="auto"/>
        </w:rPr>
        <w:t>（盖单位公章）</w:t>
      </w:r>
    </w:p>
    <w:p w14:paraId="5F6A72AA">
      <w:pPr>
        <w:ind w:firstLine="420"/>
        <w:rPr>
          <w:color w:val="auto"/>
        </w:rPr>
      </w:pPr>
      <w:r>
        <w:rPr>
          <w:rFonts w:hint="eastAsia"/>
          <w:color w:val="auto"/>
        </w:rPr>
        <w:t>法定代表人：</w:t>
      </w:r>
      <w:r>
        <w:rPr>
          <w:rFonts w:hint="eastAsia"/>
          <w:color w:val="auto"/>
          <w:u w:val="single"/>
        </w:rPr>
        <w:t xml:space="preserve">                        </w:t>
      </w:r>
      <w:r>
        <w:rPr>
          <w:rFonts w:hint="eastAsia"/>
          <w:color w:val="auto"/>
        </w:rPr>
        <w:t>（签名）</w:t>
      </w:r>
    </w:p>
    <w:p w14:paraId="54DF64D3">
      <w:pPr>
        <w:ind w:firstLine="420"/>
        <w:rPr>
          <w:color w:val="auto"/>
          <w:u w:val="single"/>
        </w:rPr>
      </w:pPr>
      <w:r>
        <w:rPr>
          <w:rFonts w:hint="eastAsia"/>
          <w:color w:val="auto"/>
        </w:rPr>
        <w:t>身份证号码：</w:t>
      </w:r>
      <w:r>
        <w:rPr>
          <w:rFonts w:hint="eastAsia"/>
          <w:color w:val="auto"/>
          <w:u w:val="single"/>
        </w:rPr>
        <w:t xml:space="preserve">                           </w:t>
      </w:r>
    </w:p>
    <w:p w14:paraId="50D6E779">
      <w:pPr>
        <w:ind w:firstLine="420"/>
        <w:rPr>
          <w:color w:val="auto"/>
        </w:rPr>
      </w:pPr>
      <w:r>
        <w:rPr>
          <w:rFonts w:hint="eastAsia"/>
          <w:color w:val="auto"/>
        </w:rPr>
        <w:t>委托代理人：</w:t>
      </w:r>
      <w:r>
        <w:rPr>
          <w:rFonts w:hint="eastAsia"/>
          <w:color w:val="auto"/>
          <w:u w:val="single"/>
        </w:rPr>
        <w:t xml:space="preserve">                           </w:t>
      </w:r>
      <w:r>
        <w:rPr>
          <w:rFonts w:hint="eastAsia"/>
          <w:color w:val="auto"/>
        </w:rPr>
        <w:t>（签名）</w:t>
      </w:r>
    </w:p>
    <w:p w14:paraId="3262BF61">
      <w:pPr>
        <w:ind w:firstLine="420"/>
        <w:rPr>
          <w:color w:val="auto"/>
          <w:u w:val="single"/>
        </w:rPr>
      </w:pPr>
      <w:r>
        <w:rPr>
          <w:rFonts w:hint="eastAsia"/>
          <w:color w:val="auto"/>
        </w:rPr>
        <w:t>身份证号码：</w:t>
      </w:r>
      <w:r>
        <w:rPr>
          <w:rFonts w:hint="eastAsia"/>
          <w:color w:val="auto"/>
          <w:u w:val="single"/>
        </w:rPr>
        <w:t xml:space="preserve">                           </w:t>
      </w:r>
    </w:p>
    <w:p w14:paraId="0B3E0DF2">
      <w:pPr>
        <w:ind w:firstLine="420"/>
        <w:jc w:val="right"/>
        <w:rPr>
          <w:color w:val="auto"/>
        </w:rPr>
      </w:pP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 xml:space="preserve">日 </w:t>
      </w:r>
    </w:p>
    <w:p w14:paraId="483B6B44">
      <w:pPr>
        <w:ind w:firstLine="420"/>
        <w:rPr>
          <w:color w:val="auto"/>
        </w:rPr>
      </w:pPr>
      <w:r>
        <w:rPr>
          <w:rFonts w:hint="eastAsia"/>
          <w:color w:val="auto"/>
        </w:rPr>
        <w:t>附：法定代表人及委托代理人身份证扫描件（双面）</w:t>
      </w:r>
    </w:p>
    <w:p w14:paraId="5B219D98">
      <w:pPr>
        <w:ind w:firstLine="420"/>
        <w:rPr>
          <w:color w:val="auto"/>
        </w:rPr>
      </w:pPr>
      <w:r>
        <w:rPr>
          <w:rFonts w:hint="eastAsia"/>
          <w:color w:val="auto"/>
        </w:rPr>
        <w:t>1.法定代表人身份证扫描件：</w:t>
      </w:r>
    </w:p>
    <w:p w14:paraId="0952B3A4">
      <w:pPr>
        <w:ind w:firstLine="420"/>
        <w:rPr>
          <w:color w:val="auto"/>
        </w:rPr>
      </w:pPr>
    </w:p>
    <w:p w14:paraId="00C49CB8">
      <w:pPr>
        <w:ind w:firstLine="420"/>
        <w:rPr>
          <w:color w:val="auto"/>
        </w:rPr>
      </w:pPr>
    </w:p>
    <w:p w14:paraId="4C3570C3">
      <w:pPr>
        <w:ind w:firstLine="420"/>
        <w:rPr>
          <w:color w:val="auto"/>
        </w:rPr>
      </w:pPr>
    </w:p>
    <w:p w14:paraId="4A73281D">
      <w:pPr>
        <w:ind w:firstLine="420"/>
        <w:rPr>
          <w:color w:val="auto"/>
        </w:rPr>
      </w:pPr>
      <w:r>
        <w:rPr>
          <w:rFonts w:hint="eastAsia"/>
          <w:color w:val="auto"/>
        </w:rPr>
        <w:t>2.委托代理人身份证扫描件：</w:t>
      </w:r>
    </w:p>
    <w:p w14:paraId="4635810A">
      <w:pPr>
        <w:ind w:firstLine="420"/>
        <w:rPr>
          <w:color w:val="auto"/>
        </w:rPr>
      </w:pPr>
    </w:p>
    <w:p w14:paraId="6344F8E0">
      <w:pPr>
        <w:ind w:firstLine="420"/>
        <w:rPr>
          <w:color w:val="auto"/>
        </w:rPr>
      </w:pPr>
    </w:p>
    <w:p w14:paraId="3C134920">
      <w:pPr>
        <w:ind w:firstLine="420"/>
        <w:rPr>
          <w:color w:val="auto"/>
        </w:rPr>
      </w:pPr>
      <w:r>
        <w:rPr>
          <w:rFonts w:hint="eastAsia"/>
          <w:color w:val="auto"/>
        </w:rPr>
        <w:t>注：1、法定代表人参加项目响应活动并签署文件的不需要授权委托书，只需提供法定代表人身份证明；非法定代表人参加项目响应活动及签署文件的除提供法定代表人身份证明外还须提供授权委托书。</w:t>
      </w:r>
    </w:p>
    <w:p w14:paraId="4FB2A492">
      <w:pPr>
        <w:ind w:firstLine="420"/>
        <w:rPr>
          <w:color w:val="auto"/>
        </w:rPr>
      </w:pPr>
      <w:r>
        <w:rPr>
          <w:rFonts w:hint="eastAsia"/>
          <w:color w:val="auto"/>
        </w:rPr>
        <w:t>2.授权委托书需按上述格式填写完整，不可缺少内容。在此基础上增加内容的不影响其有效性。</w:t>
      </w:r>
    </w:p>
    <w:p w14:paraId="08B6ECE1">
      <w:pPr>
        <w:ind w:firstLine="420"/>
        <w:rPr>
          <w:color w:val="auto"/>
        </w:rPr>
      </w:pPr>
      <w:r>
        <w:rPr>
          <w:rFonts w:hint="eastAsia"/>
          <w:color w:val="auto"/>
        </w:rPr>
        <w:br w:type="page"/>
      </w:r>
    </w:p>
    <w:bookmarkEnd w:id="1123"/>
    <w:p w14:paraId="4E48EF27">
      <w:pPr>
        <w:pStyle w:val="38"/>
        <w:rPr>
          <w:rFonts w:hint="default"/>
          <w:color w:val="auto"/>
        </w:rPr>
      </w:pPr>
      <w:bookmarkStart w:id="1124" w:name="_Toc26964"/>
      <w:bookmarkStart w:id="1125" w:name="_Toc13205"/>
      <w:bookmarkStart w:id="1126" w:name="_Toc28262"/>
      <w:bookmarkStart w:id="1127" w:name="_Toc27880"/>
      <w:bookmarkStart w:id="1128" w:name="_Toc20632"/>
      <w:bookmarkStart w:id="1129" w:name="_Toc23124"/>
      <w:bookmarkStart w:id="1130" w:name="_Toc6192"/>
      <w:bookmarkStart w:id="1131" w:name="_Toc16466"/>
      <w:bookmarkStart w:id="1132" w:name="_Toc17177"/>
      <w:bookmarkStart w:id="1133" w:name="_Toc4446"/>
      <w:bookmarkStart w:id="1134" w:name="_Toc21884"/>
      <w:bookmarkStart w:id="1135" w:name="_Toc19503"/>
      <w:bookmarkStart w:id="1136" w:name="_Toc57796016"/>
      <w:r>
        <w:rPr>
          <w:color w:val="auto"/>
        </w:rPr>
        <w:t>三、商务部分</w:t>
      </w:r>
      <w:bookmarkEnd w:id="1124"/>
      <w:bookmarkEnd w:id="1125"/>
      <w:bookmarkEnd w:id="1126"/>
      <w:bookmarkEnd w:id="1127"/>
      <w:bookmarkEnd w:id="1128"/>
      <w:bookmarkEnd w:id="1129"/>
      <w:bookmarkEnd w:id="1130"/>
      <w:bookmarkEnd w:id="1131"/>
      <w:bookmarkEnd w:id="1132"/>
      <w:bookmarkEnd w:id="1133"/>
      <w:bookmarkEnd w:id="1134"/>
    </w:p>
    <w:p w14:paraId="193559BB">
      <w:pPr>
        <w:pStyle w:val="56"/>
        <w:rPr>
          <w:color w:val="auto"/>
        </w:rPr>
      </w:pPr>
      <w:r>
        <w:rPr>
          <w:color w:val="auto"/>
        </w:rPr>
        <w:t>[提示：由响应人自行编制]</w:t>
      </w:r>
    </w:p>
    <w:p w14:paraId="22C61743">
      <w:pPr>
        <w:ind w:firstLine="420"/>
        <w:rPr>
          <w:color w:val="auto"/>
        </w:rPr>
      </w:pPr>
      <w:r>
        <w:rPr>
          <w:rFonts w:hint="eastAsia"/>
          <w:color w:val="auto"/>
        </w:rPr>
        <w:br w:type="page"/>
      </w:r>
    </w:p>
    <w:bookmarkEnd w:id="1135"/>
    <w:bookmarkEnd w:id="1136"/>
    <w:p w14:paraId="650318FC">
      <w:pPr>
        <w:pStyle w:val="38"/>
        <w:rPr>
          <w:rFonts w:hint="default"/>
          <w:color w:val="auto"/>
        </w:rPr>
      </w:pPr>
      <w:bookmarkStart w:id="1137" w:name="_Toc28101"/>
      <w:bookmarkStart w:id="1138" w:name="_Toc19905"/>
      <w:bookmarkStart w:id="1139" w:name="_Toc12913"/>
      <w:bookmarkStart w:id="1140" w:name="_Toc23437"/>
      <w:bookmarkStart w:id="1141" w:name="_Toc21835"/>
      <w:bookmarkStart w:id="1142" w:name="_Toc24823"/>
      <w:bookmarkStart w:id="1143" w:name="_Toc3944"/>
      <w:bookmarkStart w:id="1144" w:name="_Toc9626"/>
      <w:bookmarkStart w:id="1145" w:name="_Toc6719"/>
      <w:bookmarkStart w:id="1146" w:name="_Toc1221"/>
      <w:bookmarkStart w:id="1147" w:name="_Toc16004"/>
      <w:r>
        <w:rPr>
          <w:color w:val="auto"/>
        </w:rPr>
        <w:t>四、技术</w:t>
      </w:r>
      <w:bookmarkEnd w:id="1137"/>
      <w:bookmarkEnd w:id="1138"/>
      <w:r>
        <w:rPr>
          <w:color w:val="auto"/>
        </w:rPr>
        <w:t>部分</w:t>
      </w:r>
      <w:bookmarkEnd w:id="1139"/>
      <w:bookmarkEnd w:id="1140"/>
      <w:bookmarkEnd w:id="1141"/>
      <w:bookmarkEnd w:id="1142"/>
      <w:bookmarkEnd w:id="1143"/>
      <w:bookmarkEnd w:id="1144"/>
      <w:bookmarkEnd w:id="1145"/>
      <w:bookmarkEnd w:id="1146"/>
      <w:bookmarkEnd w:id="1147"/>
    </w:p>
    <w:p w14:paraId="577C8EF5">
      <w:pPr>
        <w:pStyle w:val="56"/>
        <w:rPr>
          <w:color w:val="auto"/>
        </w:rPr>
      </w:pPr>
      <w:r>
        <w:rPr>
          <w:color w:val="auto"/>
        </w:rPr>
        <w:t>[提示：由响应人自行编制]</w:t>
      </w:r>
    </w:p>
    <w:p w14:paraId="1966D5B1">
      <w:pPr>
        <w:ind w:firstLine="420"/>
        <w:rPr>
          <w:color w:val="auto"/>
        </w:rPr>
      </w:pPr>
      <w:r>
        <w:rPr>
          <w:color w:val="auto"/>
        </w:rPr>
        <w:br w:type="page"/>
      </w:r>
    </w:p>
    <w:p w14:paraId="04D36953">
      <w:pPr>
        <w:pStyle w:val="38"/>
        <w:rPr>
          <w:rFonts w:hint="default"/>
          <w:color w:val="auto"/>
        </w:rPr>
      </w:pPr>
      <w:bookmarkStart w:id="1148" w:name="_Toc893"/>
      <w:bookmarkStart w:id="1149" w:name="_Toc6801"/>
      <w:bookmarkStart w:id="1150" w:name="_Toc27716"/>
      <w:bookmarkStart w:id="1151" w:name="_Toc2853"/>
      <w:bookmarkStart w:id="1152" w:name="_Toc19541"/>
      <w:bookmarkStart w:id="1153" w:name="_Toc30671"/>
      <w:bookmarkStart w:id="1154" w:name="_Toc25666"/>
      <w:bookmarkStart w:id="1155" w:name="_Toc26851"/>
      <w:bookmarkStart w:id="1156" w:name="_Toc13734"/>
      <w:bookmarkStart w:id="1157" w:name="_Toc2480"/>
      <w:bookmarkStart w:id="1158" w:name="_Toc6571"/>
      <w:bookmarkStart w:id="1159" w:name="_Toc144974876"/>
      <w:bookmarkStart w:id="1160" w:name="_Toc152045808"/>
      <w:bookmarkStart w:id="1161" w:name="_Toc296602618"/>
      <w:bookmarkStart w:id="1162" w:name="_Toc246996373"/>
      <w:bookmarkStart w:id="1163" w:name="_Toc152042597"/>
      <w:bookmarkStart w:id="1164" w:name="_Toc179632828"/>
      <w:bookmarkStart w:id="1165" w:name="_Toc246997116"/>
      <w:bookmarkStart w:id="1166" w:name="_Toc247085891"/>
      <w:r>
        <w:rPr>
          <w:color w:val="auto"/>
        </w:rPr>
        <w:t>五、资格审查资料</w:t>
      </w:r>
      <w:bookmarkEnd w:id="1148"/>
      <w:bookmarkEnd w:id="1149"/>
      <w:bookmarkEnd w:id="1150"/>
      <w:bookmarkEnd w:id="1151"/>
      <w:bookmarkEnd w:id="1152"/>
      <w:bookmarkEnd w:id="1153"/>
      <w:bookmarkEnd w:id="1154"/>
      <w:bookmarkEnd w:id="1155"/>
      <w:bookmarkEnd w:id="1156"/>
      <w:bookmarkEnd w:id="1157"/>
      <w:bookmarkEnd w:id="1158"/>
    </w:p>
    <w:p w14:paraId="00C6FBE5">
      <w:pPr>
        <w:ind w:firstLine="420"/>
        <w:rPr>
          <w:color w:val="auto"/>
        </w:rPr>
      </w:pPr>
      <w:r>
        <w:rPr>
          <w:rFonts w:hint="eastAsia"/>
          <w:color w:val="auto"/>
        </w:rPr>
        <w:br w:type="page"/>
      </w:r>
    </w:p>
    <w:p w14:paraId="65E4CF15">
      <w:pPr>
        <w:pStyle w:val="39"/>
        <w:rPr>
          <w:color w:val="auto"/>
        </w:rPr>
      </w:pPr>
      <w:bookmarkStart w:id="1167" w:name="_Toc20684"/>
      <w:bookmarkStart w:id="1168" w:name="_Toc19083"/>
      <w:bookmarkStart w:id="1169" w:name="_Toc5947"/>
      <w:bookmarkStart w:id="1170" w:name="_Toc30551"/>
      <w:bookmarkStart w:id="1171" w:name="_Toc26237"/>
      <w:bookmarkStart w:id="1172" w:name="_Toc10812"/>
      <w:r>
        <w:rPr>
          <w:rFonts w:hint="eastAsia"/>
          <w:color w:val="auto"/>
        </w:rPr>
        <w:t>（一）资质条件</w:t>
      </w:r>
    </w:p>
    <w:p w14:paraId="19D78B35">
      <w:pPr>
        <w:ind w:firstLine="420"/>
        <w:rPr>
          <w:color w:val="auto"/>
        </w:rPr>
      </w:pPr>
      <w:r>
        <w:rPr>
          <w:rFonts w:hint="eastAsia"/>
          <w:color w:val="auto"/>
        </w:rPr>
        <w:t>按照询比文件第二章响应人须知前附表 1.4.1 项资质条件提供资料。</w:t>
      </w:r>
    </w:p>
    <w:p w14:paraId="08BD22C3">
      <w:pPr>
        <w:spacing w:before="156"/>
        <w:ind w:firstLine="420"/>
        <w:jc w:val="center"/>
        <w:rPr>
          <w:color w:val="auto"/>
        </w:rPr>
      </w:pPr>
      <w:r>
        <w:rPr>
          <w:rFonts w:hint="eastAsia"/>
          <w:color w:val="auto"/>
        </w:rPr>
        <w:br w:type="page"/>
      </w:r>
    </w:p>
    <w:p w14:paraId="44D96F16">
      <w:pPr>
        <w:pStyle w:val="59"/>
        <w:rPr>
          <w:rFonts w:hint="default"/>
          <w:color w:val="auto"/>
        </w:rPr>
      </w:pPr>
      <w:r>
        <w:rPr>
          <w:color w:val="auto"/>
          <w:lang w:val="zh-CN"/>
        </w:rPr>
        <w:t>（</w:t>
      </w:r>
      <w:r>
        <w:rPr>
          <w:color w:val="auto"/>
        </w:rPr>
        <w:t>1</w:t>
      </w:r>
      <w:r>
        <w:rPr>
          <w:color w:val="auto"/>
          <w:lang w:val="zh-CN"/>
        </w:rPr>
        <w:t>）</w:t>
      </w:r>
      <w:r>
        <w:rPr>
          <w:color w:val="auto"/>
        </w:rPr>
        <w:t>有效的营业执照扫描件</w:t>
      </w:r>
    </w:p>
    <w:p w14:paraId="2054C263">
      <w:pPr>
        <w:ind w:firstLine="420"/>
        <w:rPr>
          <w:color w:val="auto"/>
        </w:rPr>
      </w:pPr>
    </w:p>
    <w:p w14:paraId="661D70EE">
      <w:pPr>
        <w:ind w:firstLine="420"/>
        <w:rPr>
          <w:color w:val="auto"/>
        </w:rPr>
      </w:pPr>
      <w:r>
        <w:rPr>
          <w:color w:val="auto"/>
        </w:rPr>
        <w:br w:type="page"/>
      </w:r>
    </w:p>
    <w:p w14:paraId="3F505AAD">
      <w:pPr>
        <w:pStyle w:val="39"/>
        <w:rPr>
          <w:color w:val="auto"/>
        </w:rPr>
      </w:pPr>
      <w:r>
        <w:rPr>
          <w:rFonts w:hint="eastAsia"/>
          <w:color w:val="auto"/>
        </w:rPr>
        <w:t>（二）其他要求</w:t>
      </w:r>
    </w:p>
    <w:p w14:paraId="002B1D3E">
      <w:pPr>
        <w:ind w:firstLine="420"/>
        <w:rPr>
          <w:color w:val="auto"/>
        </w:rPr>
      </w:pPr>
      <w:r>
        <w:rPr>
          <w:rFonts w:hint="eastAsia"/>
          <w:color w:val="auto"/>
        </w:rPr>
        <w:t>按照询比文件第二章响应人须知前附表 1.4.1 项其他要求提供资料。</w:t>
      </w:r>
    </w:p>
    <w:p w14:paraId="16D234B3">
      <w:pPr>
        <w:ind w:firstLine="420"/>
        <w:rPr>
          <w:color w:val="auto"/>
        </w:rPr>
      </w:pPr>
    </w:p>
    <w:p w14:paraId="4809586B">
      <w:pPr>
        <w:ind w:firstLine="420"/>
        <w:rPr>
          <w:color w:val="auto"/>
        </w:rPr>
      </w:pPr>
      <w:r>
        <w:rPr>
          <w:rFonts w:hint="eastAsia"/>
          <w:color w:val="auto"/>
        </w:rPr>
        <w:br w:type="page"/>
      </w:r>
    </w:p>
    <w:p w14:paraId="0FF9D756">
      <w:pPr>
        <w:pStyle w:val="59"/>
        <w:rPr>
          <w:rFonts w:hint="default"/>
          <w:color w:val="auto"/>
        </w:rPr>
      </w:pPr>
      <w:r>
        <w:rPr>
          <w:color w:val="auto"/>
        </w:rPr>
        <w:t>响应人</w:t>
      </w:r>
      <w:r>
        <w:rPr>
          <w:rFonts w:hint="default"/>
          <w:color w:val="auto"/>
        </w:rPr>
        <w:t>基本情况介绍</w:t>
      </w:r>
    </w:p>
    <w:tbl>
      <w:tblPr>
        <w:tblStyle w:val="19"/>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1B6E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E29DAF2">
            <w:pPr>
              <w:pStyle w:val="43"/>
              <w:ind w:firstLine="0" w:firstLineChars="0"/>
              <w:jc w:val="center"/>
              <w:rPr>
                <w:color w:val="auto"/>
              </w:rPr>
            </w:pPr>
            <w:r>
              <w:rPr>
                <w:rFonts w:hint="eastAsia"/>
                <w:color w:val="auto"/>
              </w:rPr>
              <w:t>响应人名称</w:t>
            </w:r>
          </w:p>
        </w:tc>
        <w:tc>
          <w:tcPr>
            <w:tcW w:w="3487" w:type="pct"/>
            <w:gridSpan w:val="4"/>
            <w:vAlign w:val="center"/>
          </w:tcPr>
          <w:p w14:paraId="53CB3FB3">
            <w:pPr>
              <w:pStyle w:val="43"/>
              <w:ind w:firstLine="0" w:firstLineChars="0"/>
              <w:jc w:val="center"/>
              <w:rPr>
                <w:color w:val="auto"/>
              </w:rPr>
            </w:pPr>
          </w:p>
        </w:tc>
      </w:tr>
      <w:tr w14:paraId="1EC7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A2B0A98">
            <w:pPr>
              <w:pStyle w:val="43"/>
              <w:ind w:firstLine="0" w:firstLineChars="0"/>
              <w:jc w:val="center"/>
              <w:rPr>
                <w:color w:val="auto"/>
              </w:rPr>
            </w:pPr>
            <w:r>
              <w:rPr>
                <w:rFonts w:hint="eastAsia"/>
                <w:color w:val="auto"/>
              </w:rPr>
              <w:t>联系方式</w:t>
            </w:r>
          </w:p>
        </w:tc>
        <w:tc>
          <w:tcPr>
            <w:tcW w:w="486" w:type="pct"/>
            <w:tcBorders>
              <w:top w:val="single" w:color="auto" w:sz="4" w:space="0"/>
              <w:left w:val="single" w:color="auto" w:sz="4" w:space="0"/>
              <w:right w:val="single" w:color="auto" w:sz="4" w:space="0"/>
            </w:tcBorders>
            <w:vAlign w:val="center"/>
          </w:tcPr>
          <w:p w14:paraId="6F4ED965">
            <w:pPr>
              <w:pStyle w:val="43"/>
              <w:ind w:firstLine="0" w:firstLineChars="0"/>
              <w:jc w:val="center"/>
              <w:rPr>
                <w:color w:val="auto"/>
              </w:rPr>
            </w:pPr>
            <w:r>
              <w:rPr>
                <w:rFonts w:hint="eastAsia"/>
                <w:color w:val="auto"/>
              </w:rPr>
              <w:t>联系人</w:t>
            </w:r>
          </w:p>
        </w:tc>
        <w:tc>
          <w:tcPr>
            <w:tcW w:w="1042" w:type="pct"/>
            <w:tcBorders>
              <w:top w:val="single" w:color="auto" w:sz="4" w:space="0"/>
              <w:left w:val="single" w:color="auto" w:sz="4" w:space="0"/>
              <w:right w:val="single" w:color="auto" w:sz="4" w:space="0"/>
            </w:tcBorders>
            <w:vAlign w:val="center"/>
          </w:tcPr>
          <w:p w14:paraId="57F84410">
            <w:pPr>
              <w:pStyle w:val="43"/>
              <w:ind w:firstLine="0" w:firstLineChars="0"/>
              <w:jc w:val="center"/>
              <w:rPr>
                <w:color w:val="auto"/>
              </w:rPr>
            </w:pPr>
          </w:p>
        </w:tc>
        <w:tc>
          <w:tcPr>
            <w:tcW w:w="412" w:type="pct"/>
            <w:tcBorders>
              <w:top w:val="single" w:color="auto" w:sz="4" w:space="0"/>
              <w:left w:val="single" w:color="auto" w:sz="4" w:space="0"/>
              <w:right w:val="single" w:color="auto" w:sz="4" w:space="0"/>
            </w:tcBorders>
            <w:vAlign w:val="center"/>
          </w:tcPr>
          <w:p w14:paraId="7594F65D">
            <w:pPr>
              <w:pStyle w:val="43"/>
              <w:ind w:firstLine="0" w:firstLineChars="0"/>
              <w:jc w:val="center"/>
              <w:rPr>
                <w:color w:val="auto"/>
              </w:rPr>
            </w:pPr>
            <w:r>
              <w:rPr>
                <w:rFonts w:hint="eastAsia"/>
                <w:color w:val="auto"/>
              </w:rPr>
              <w:t>电话</w:t>
            </w:r>
          </w:p>
        </w:tc>
        <w:tc>
          <w:tcPr>
            <w:tcW w:w="1546" w:type="pct"/>
            <w:vAlign w:val="center"/>
          </w:tcPr>
          <w:p w14:paraId="7EF599B1">
            <w:pPr>
              <w:pStyle w:val="43"/>
              <w:ind w:firstLine="0" w:firstLineChars="0"/>
              <w:jc w:val="center"/>
              <w:rPr>
                <w:color w:val="auto"/>
              </w:rPr>
            </w:pPr>
          </w:p>
        </w:tc>
      </w:tr>
      <w:tr w14:paraId="197A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CD9C144">
            <w:pPr>
              <w:pStyle w:val="43"/>
              <w:ind w:firstLine="0" w:firstLineChars="0"/>
              <w:jc w:val="center"/>
              <w:rPr>
                <w:color w:val="auto"/>
              </w:rPr>
            </w:pPr>
            <w:r>
              <w:rPr>
                <w:rFonts w:hint="eastAsia"/>
                <w:color w:val="auto"/>
              </w:rPr>
              <w:t>法定代表人</w:t>
            </w:r>
          </w:p>
        </w:tc>
        <w:tc>
          <w:tcPr>
            <w:tcW w:w="486" w:type="pct"/>
            <w:tcBorders>
              <w:top w:val="single" w:color="auto" w:sz="4" w:space="0"/>
              <w:left w:val="single" w:color="auto" w:sz="4" w:space="0"/>
              <w:right w:val="single" w:color="auto" w:sz="4" w:space="0"/>
            </w:tcBorders>
            <w:vAlign w:val="center"/>
          </w:tcPr>
          <w:p w14:paraId="44F364A8">
            <w:pPr>
              <w:pStyle w:val="43"/>
              <w:ind w:firstLine="0" w:firstLineChars="0"/>
              <w:jc w:val="center"/>
              <w:rPr>
                <w:color w:val="auto"/>
              </w:rPr>
            </w:pPr>
            <w:r>
              <w:rPr>
                <w:rFonts w:hint="eastAsia"/>
                <w:color w:val="auto"/>
              </w:rPr>
              <w:t>姓名</w:t>
            </w:r>
          </w:p>
        </w:tc>
        <w:tc>
          <w:tcPr>
            <w:tcW w:w="1042" w:type="pct"/>
            <w:tcBorders>
              <w:top w:val="single" w:color="auto" w:sz="4" w:space="0"/>
              <w:left w:val="single" w:color="auto" w:sz="4" w:space="0"/>
              <w:right w:val="single" w:color="auto" w:sz="4" w:space="0"/>
            </w:tcBorders>
            <w:vAlign w:val="center"/>
          </w:tcPr>
          <w:p w14:paraId="02CFB952">
            <w:pPr>
              <w:pStyle w:val="43"/>
              <w:ind w:firstLine="0" w:firstLineChars="0"/>
              <w:jc w:val="center"/>
              <w:rPr>
                <w:color w:val="auto"/>
              </w:rPr>
            </w:pPr>
          </w:p>
        </w:tc>
        <w:tc>
          <w:tcPr>
            <w:tcW w:w="412" w:type="pct"/>
            <w:tcBorders>
              <w:top w:val="single" w:color="auto" w:sz="4" w:space="0"/>
              <w:left w:val="single" w:color="auto" w:sz="4" w:space="0"/>
              <w:right w:val="single" w:color="auto" w:sz="4" w:space="0"/>
            </w:tcBorders>
            <w:vAlign w:val="center"/>
          </w:tcPr>
          <w:p w14:paraId="39B749F5">
            <w:pPr>
              <w:pStyle w:val="43"/>
              <w:ind w:firstLine="0" w:firstLineChars="0"/>
              <w:jc w:val="center"/>
              <w:rPr>
                <w:color w:val="auto"/>
              </w:rPr>
            </w:pPr>
            <w:r>
              <w:rPr>
                <w:rFonts w:hint="eastAsia"/>
                <w:color w:val="auto"/>
              </w:rPr>
              <w:t>电话</w:t>
            </w:r>
          </w:p>
        </w:tc>
        <w:tc>
          <w:tcPr>
            <w:tcW w:w="1546" w:type="pct"/>
            <w:tcBorders>
              <w:top w:val="single" w:color="auto" w:sz="4" w:space="0"/>
              <w:left w:val="single" w:color="auto" w:sz="4" w:space="0"/>
            </w:tcBorders>
            <w:vAlign w:val="center"/>
          </w:tcPr>
          <w:p w14:paraId="4052D1EF">
            <w:pPr>
              <w:pStyle w:val="43"/>
              <w:ind w:firstLine="0" w:firstLineChars="0"/>
              <w:jc w:val="center"/>
              <w:rPr>
                <w:color w:val="auto"/>
              </w:rPr>
            </w:pPr>
          </w:p>
        </w:tc>
      </w:tr>
      <w:tr w14:paraId="1993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29725487">
            <w:pPr>
              <w:pStyle w:val="43"/>
              <w:ind w:firstLine="0" w:firstLineChars="0"/>
              <w:jc w:val="center"/>
              <w:rPr>
                <w:color w:val="auto"/>
              </w:rPr>
            </w:pPr>
            <w:r>
              <w:rPr>
                <w:rFonts w:hint="eastAsia"/>
                <w:color w:val="auto"/>
              </w:rPr>
              <w:t>统一社会信用代码</w:t>
            </w:r>
          </w:p>
        </w:tc>
        <w:tc>
          <w:tcPr>
            <w:tcW w:w="3487" w:type="pct"/>
            <w:gridSpan w:val="4"/>
            <w:tcBorders>
              <w:top w:val="single" w:color="auto" w:sz="4" w:space="0"/>
              <w:left w:val="single" w:color="auto" w:sz="4" w:space="0"/>
            </w:tcBorders>
            <w:vAlign w:val="center"/>
          </w:tcPr>
          <w:p w14:paraId="11BB02A4">
            <w:pPr>
              <w:pStyle w:val="43"/>
              <w:ind w:firstLine="0" w:firstLineChars="0"/>
              <w:jc w:val="center"/>
              <w:rPr>
                <w:color w:val="auto"/>
              </w:rPr>
            </w:pPr>
          </w:p>
        </w:tc>
      </w:tr>
      <w:tr w14:paraId="6133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766D9C66">
            <w:pPr>
              <w:pStyle w:val="43"/>
              <w:ind w:firstLine="0" w:firstLineChars="0"/>
              <w:jc w:val="center"/>
              <w:rPr>
                <w:color w:val="auto"/>
              </w:rPr>
            </w:pPr>
            <w:r>
              <w:rPr>
                <w:rFonts w:hint="eastAsia"/>
                <w:color w:val="auto"/>
              </w:rPr>
              <w:t>注册资金</w:t>
            </w:r>
          </w:p>
        </w:tc>
        <w:tc>
          <w:tcPr>
            <w:tcW w:w="3487" w:type="pct"/>
            <w:gridSpan w:val="4"/>
            <w:tcBorders>
              <w:top w:val="single" w:color="auto" w:sz="4" w:space="0"/>
              <w:left w:val="single" w:color="auto" w:sz="4" w:space="0"/>
            </w:tcBorders>
            <w:vAlign w:val="center"/>
          </w:tcPr>
          <w:p w14:paraId="11A956FD">
            <w:pPr>
              <w:pStyle w:val="43"/>
              <w:ind w:firstLine="0" w:firstLineChars="0"/>
              <w:jc w:val="center"/>
              <w:rPr>
                <w:color w:val="auto"/>
              </w:rPr>
            </w:pPr>
          </w:p>
        </w:tc>
      </w:tr>
      <w:tr w14:paraId="3770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7AF0597">
            <w:pPr>
              <w:pStyle w:val="43"/>
              <w:ind w:firstLine="0" w:firstLineChars="0"/>
              <w:jc w:val="center"/>
              <w:rPr>
                <w:color w:val="auto"/>
              </w:rPr>
            </w:pPr>
            <w:r>
              <w:rPr>
                <w:rFonts w:hint="eastAsia"/>
                <w:color w:val="auto"/>
              </w:rPr>
              <w:t>开户银行</w:t>
            </w:r>
          </w:p>
        </w:tc>
        <w:tc>
          <w:tcPr>
            <w:tcW w:w="3487" w:type="pct"/>
            <w:gridSpan w:val="4"/>
            <w:tcBorders>
              <w:top w:val="single" w:color="auto" w:sz="4" w:space="0"/>
              <w:left w:val="single" w:color="auto" w:sz="4" w:space="0"/>
            </w:tcBorders>
            <w:vAlign w:val="center"/>
          </w:tcPr>
          <w:p w14:paraId="66D401DE">
            <w:pPr>
              <w:pStyle w:val="43"/>
              <w:ind w:firstLine="0" w:firstLineChars="0"/>
              <w:jc w:val="center"/>
              <w:rPr>
                <w:color w:val="auto"/>
              </w:rPr>
            </w:pPr>
          </w:p>
        </w:tc>
      </w:tr>
      <w:tr w14:paraId="67EC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619E5AC">
            <w:pPr>
              <w:pStyle w:val="43"/>
              <w:ind w:firstLine="0" w:firstLineChars="0"/>
              <w:jc w:val="center"/>
              <w:rPr>
                <w:color w:val="auto"/>
              </w:rPr>
            </w:pPr>
            <w:r>
              <w:rPr>
                <w:rFonts w:hint="eastAsia"/>
                <w:color w:val="auto"/>
              </w:rPr>
              <w:t>账号</w:t>
            </w:r>
          </w:p>
        </w:tc>
        <w:tc>
          <w:tcPr>
            <w:tcW w:w="3487" w:type="pct"/>
            <w:gridSpan w:val="4"/>
            <w:tcBorders>
              <w:top w:val="single" w:color="auto" w:sz="4" w:space="0"/>
              <w:left w:val="single" w:color="auto" w:sz="4" w:space="0"/>
            </w:tcBorders>
            <w:vAlign w:val="center"/>
          </w:tcPr>
          <w:p w14:paraId="03798EC7">
            <w:pPr>
              <w:pStyle w:val="43"/>
              <w:ind w:firstLine="0" w:firstLineChars="0"/>
              <w:jc w:val="center"/>
              <w:rPr>
                <w:color w:val="auto"/>
              </w:rPr>
            </w:pPr>
          </w:p>
        </w:tc>
      </w:tr>
      <w:tr w14:paraId="7BD6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73F8226F">
            <w:pPr>
              <w:pStyle w:val="43"/>
              <w:ind w:firstLine="0" w:firstLineChars="0"/>
              <w:jc w:val="center"/>
              <w:rPr>
                <w:color w:val="auto"/>
              </w:rPr>
            </w:pPr>
            <w:r>
              <w:rPr>
                <w:rFonts w:hint="eastAsia"/>
                <w:color w:val="auto"/>
              </w:rPr>
              <w:t>备注</w:t>
            </w:r>
          </w:p>
        </w:tc>
        <w:tc>
          <w:tcPr>
            <w:tcW w:w="3487" w:type="pct"/>
            <w:gridSpan w:val="4"/>
            <w:vAlign w:val="center"/>
          </w:tcPr>
          <w:p w14:paraId="26A6C9A5">
            <w:pPr>
              <w:pStyle w:val="43"/>
              <w:ind w:firstLine="0" w:firstLineChars="0"/>
              <w:jc w:val="center"/>
              <w:rPr>
                <w:color w:val="auto"/>
              </w:rPr>
            </w:pPr>
          </w:p>
        </w:tc>
      </w:tr>
    </w:tbl>
    <w:p w14:paraId="08E0B0B7">
      <w:pPr>
        <w:pStyle w:val="10"/>
        <w:ind w:firstLine="420"/>
        <w:rPr>
          <w:color w:val="auto"/>
        </w:rPr>
      </w:pPr>
    </w:p>
    <w:p w14:paraId="10028157">
      <w:pPr>
        <w:ind w:firstLine="420"/>
        <w:rPr>
          <w:color w:val="auto"/>
        </w:rPr>
        <w:sectPr>
          <w:pgSz w:w="11906" w:h="16838"/>
          <w:pgMar w:top="1440" w:right="1800" w:bottom="1440" w:left="1800" w:header="851" w:footer="992" w:gutter="0"/>
          <w:pgNumType w:fmt="decimal"/>
          <w:cols w:space="720" w:num="1"/>
          <w:docGrid w:type="lines" w:linePitch="312" w:charSpace="0"/>
        </w:sectPr>
      </w:pPr>
    </w:p>
    <w:p w14:paraId="7C52E3C8">
      <w:pPr>
        <w:pStyle w:val="59"/>
        <w:rPr>
          <w:rFonts w:hint="default"/>
          <w:color w:val="auto"/>
        </w:rPr>
      </w:pPr>
      <w:r>
        <w:rPr>
          <w:color w:val="auto"/>
        </w:rPr>
        <w:t>（1）书面声明</w:t>
      </w:r>
    </w:p>
    <w:p w14:paraId="74F8480E">
      <w:pPr>
        <w:tabs>
          <w:tab w:val="left" w:pos="6300"/>
        </w:tabs>
        <w:snapToGrid w:val="0"/>
        <w:ind w:firstLine="480"/>
        <w:rPr>
          <w:rFonts w:ascii="宋体"/>
          <w:color w:val="auto"/>
          <w:sz w:val="24"/>
        </w:rPr>
      </w:pPr>
    </w:p>
    <w:p w14:paraId="69925D68">
      <w:pPr>
        <w:tabs>
          <w:tab w:val="left" w:pos="6300"/>
        </w:tabs>
        <w:snapToGrid w:val="0"/>
        <w:ind w:firstLine="480"/>
        <w:rPr>
          <w:rFonts w:ascii="宋体"/>
          <w:color w:val="auto"/>
          <w:sz w:val="24"/>
        </w:rPr>
      </w:pPr>
      <w:r>
        <w:rPr>
          <w:rFonts w:hint="eastAsia" w:ascii="宋体"/>
          <w:color w:val="auto"/>
          <w:sz w:val="24"/>
          <w:szCs w:val="28"/>
        </w:rPr>
        <w:t>项目名称</w:t>
      </w:r>
      <w:r>
        <w:rPr>
          <w:rFonts w:hint="eastAsia" w:ascii="宋体"/>
          <w:color w:val="auto"/>
          <w:sz w:val="24"/>
        </w:rPr>
        <w:t>：</w:t>
      </w:r>
      <w:r>
        <w:rPr>
          <w:rFonts w:hint="eastAsia" w:ascii="宋体"/>
          <w:snapToGrid w:val="0"/>
          <w:color w:val="auto"/>
          <w:kern w:val="0"/>
          <w:sz w:val="24"/>
          <w:szCs w:val="24"/>
          <w:u w:val="single"/>
        </w:rPr>
        <w:t>__________________</w:t>
      </w:r>
    </w:p>
    <w:p w14:paraId="1EE12B82">
      <w:pPr>
        <w:tabs>
          <w:tab w:val="left" w:pos="6300"/>
        </w:tabs>
        <w:snapToGrid w:val="0"/>
        <w:ind w:firstLine="480"/>
        <w:rPr>
          <w:rFonts w:ascii="宋体"/>
          <w:color w:val="auto"/>
          <w:sz w:val="24"/>
        </w:rPr>
      </w:pPr>
    </w:p>
    <w:p w14:paraId="359630D1">
      <w:pPr>
        <w:tabs>
          <w:tab w:val="left" w:pos="6300"/>
        </w:tabs>
        <w:snapToGrid w:val="0"/>
        <w:ind w:firstLine="480"/>
        <w:rPr>
          <w:rFonts w:ascii="宋体"/>
          <w:color w:val="auto"/>
          <w:sz w:val="24"/>
        </w:rPr>
      </w:pPr>
      <w:r>
        <w:rPr>
          <w:rFonts w:hint="eastAsia" w:ascii="宋体"/>
          <w:color w:val="auto"/>
          <w:sz w:val="24"/>
        </w:rPr>
        <w:t>致：</w:t>
      </w:r>
      <w:r>
        <w:rPr>
          <w:rFonts w:hint="eastAsia" w:ascii="宋体"/>
          <w:snapToGrid w:val="0"/>
          <w:color w:val="auto"/>
          <w:kern w:val="0"/>
          <w:sz w:val="24"/>
          <w:u w:val="single"/>
        </w:rPr>
        <w:t>重庆三峡银行股份有限公司</w:t>
      </w:r>
      <w:r>
        <w:rPr>
          <w:rFonts w:hint="eastAsia" w:ascii="宋体"/>
          <w:color w:val="auto"/>
          <w:sz w:val="24"/>
        </w:rPr>
        <w:t>：</w:t>
      </w:r>
    </w:p>
    <w:p w14:paraId="598EF0B3">
      <w:pPr>
        <w:tabs>
          <w:tab w:val="left" w:pos="6300"/>
        </w:tabs>
        <w:snapToGrid w:val="0"/>
        <w:ind w:firstLine="480"/>
        <w:rPr>
          <w:rFonts w:ascii="宋体"/>
          <w:color w:val="auto"/>
          <w:sz w:val="24"/>
        </w:rPr>
      </w:pPr>
      <w:r>
        <w:rPr>
          <w:rFonts w:hint="eastAsia" w:ascii="宋体"/>
          <w:color w:val="auto"/>
          <w:sz w:val="24"/>
          <w:u w:val="single"/>
        </w:rPr>
        <w:t xml:space="preserve">            </w:t>
      </w:r>
      <w:r>
        <w:rPr>
          <w:rFonts w:hint="eastAsia" w:ascii="宋体"/>
          <w:color w:val="auto"/>
          <w:sz w:val="24"/>
        </w:rPr>
        <w:t>（</w:t>
      </w:r>
      <w:r>
        <w:rPr>
          <w:rFonts w:hint="eastAsia" w:ascii="宋体" w:cs="等线 Light"/>
          <w:snapToGrid w:val="0"/>
          <w:color w:val="auto"/>
          <w:kern w:val="0"/>
          <w:sz w:val="24"/>
          <w:szCs w:val="24"/>
        </w:rPr>
        <w:t>响应人</w:t>
      </w:r>
      <w:r>
        <w:rPr>
          <w:rFonts w:hint="eastAsia" w:ascii="宋体"/>
          <w:color w:val="auto"/>
          <w:sz w:val="24"/>
        </w:rPr>
        <w:t>名称）郑重声明，我公司为产品原厂商，具备对产品二次开发及维护能力，近3年财务状况稳定，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color w:val="auto"/>
          <w:kern w:val="0"/>
          <w:sz w:val="24"/>
          <w:szCs w:val="24"/>
        </w:rPr>
        <w:t>响应人</w:t>
      </w:r>
      <w:r>
        <w:rPr>
          <w:rFonts w:hint="eastAsia" w:ascii="宋体"/>
          <w:color w:val="auto"/>
          <w:sz w:val="24"/>
        </w:rPr>
        <w:t>资格条件；</w:t>
      </w:r>
      <w:r>
        <w:rPr>
          <w:rFonts w:hint="eastAsia" w:ascii="宋体" w:hAnsi="宋体" w:cs="Cambria"/>
          <w:color w:val="auto"/>
          <w:sz w:val="24"/>
          <w:szCs w:val="24"/>
        </w:rPr>
        <w:t>我公司本次如若成交，成交后不会对项目进行转包</w:t>
      </w:r>
      <w:r>
        <w:rPr>
          <w:rFonts w:hint="eastAsia" w:ascii="宋体"/>
          <w:color w:val="auto"/>
          <w:sz w:val="24"/>
        </w:rPr>
        <w:t>。我方对以上声明负全部法律责任。</w:t>
      </w:r>
    </w:p>
    <w:p w14:paraId="181DECC9">
      <w:pPr>
        <w:tabs>
          <w:tab w:val="left" w:pos="6300"/>
        </w:tabs>
        <w:snapToGrid w:val="0"/>
        <w:ind w:firstLine="480"/>
        <w:rPr>
          <w:rFonts w:ascii="宋体"/>
          <w:color w:val="auto"/>
          <w:sz w:val="24"/>
        </w:rPr>
      </w:pPr>
      <w:r>
        <w:rPr>
          <w:rFonts w:hint="eastAsia" w:ascii="宋体"/>
          <w:color w:val="auto"/>
          <w:sz w:val="24"/>
        </w:rPr>
        <w:t>特此声明。</w:t>
      </w:r>
    </w:p>
    <w:p w14:paraId="5D5C90E4">
      <w:pPr>
        <w:tabs>
          <w:tab w:val="left" w:pos="6300"/>
        </w:tabs>
        <w:snapToGrid w:val="0"/>
        <w:ind w:firstLine="480"/>
        <w:rPr>
          <w:rFonts w:ascii="宋体"/>
          <w:color w:val="auto"/>
          <w:sz w:val="24"/>
        </w:rPr>
      </w:pPr>
    </w:p>
    <w:p w14:paraId="2D2B9F5D">
      <w:pPr>
        <w:tabs>
          <w:tab w:val="left" w:pos="6300"/>
        </w:tabs>
        <w:snapToGrid w:val="0"/>
        <w:ind w:firstLine="480"/>
        <w:rPr>
          <w:rFonts w:ascii="宋体"/>
          <w:color w:val="auto"/>
          <w:sz w:val="24"/>
        </w:rPr>
      </w:pPr>
    </w:p>
    <w:p w14:paraId="69271230">
      <w:pPr>
        <w:tabs>
          <w:tab w:val="left" w:pos="6300"/>
        </w:tabs>
        <w:snapToGrid w:val="0"/>
        <w:ind w:firstLine="480"/>
        <w:rPr>
          <w:rFonts w:ascii="宋体"/>
          <w:color w:val="auto"/>
          <w:sz w:val="24"/>
        </w:rPr>
      </w:pPr>
    </w:p>
    <w:p w14:paraId="184621A8">
      <w:pPr>
        <w:tabs>
          <w:tab w:val="left" w:pos="6300"/>
        </w:tabs>
        <w:snapToGrid w:val="0"/>
        <w:ind w:right="424" w:firstLine="480"/>
        <w:jc w:val="right"/>
        <w:rPr>
          <w:rFonts w:ascii="宋体"/>
          <w:color w:val="auto"/>
          <w:sz w:val="24"/>
        </w:rPr>
      </w:pPr>
      <w:r>
        <w:rPr>
          <w:rFonts w:hint="eastAsia" w:ascii="宋体"/>
          <w:color w:val="auto"/>
          <w:sz w:val="24"/>
        </w:rPr>
        <w:t>（</w:t>
      </w:r>
      <w:r>
        <w:rPr>
          <w:rFonts w:hint="eastAsia" w:ascii="宋体" w:cs="等线 Light"/>
          <w:snapToGrid w:val="0"/>
          <w:color w:val="auto"/>
          <w:kern w:val="0"/>
          <w:sz w:val="24"/>
          <w:szCs w:val="24"/>
        </w:rPr>
        <w:t>响应人</w:t>
      </w:r>
      <w:r>
        <w:rPr>
          <w:rFonts w:hint="eastAsia" w:ascii="宋体"/>
          <w:color w:val="auto"/>
          <w:sz w:val="24"/>
        </w:rPr>
        <w:t>公章）</w:t>
      </w:r>
    </w:p>
    <w:p w14:paraId="7567702D">
      <w:pPr>
        <w:tabs>
          <w:tab w:val="left" w:pos="6300"/>
        </w:tabs>
        <w:snapToGrid w:val="0"/>
        <w:ind w:right="480" w:firstLine="480"/>
        <w:jc w:val="right"/>
        <w:rPr>
          <w:rFonts w:ascii="宋体"/>
          <w:color w:val="auto"/>
          <w:sz w:val="24"/>
        </w:rPr>
      </w:pPr>
      <w:r>
        <w:rPr>
          <w:rFonts w:hint="eastAsia" w:ascii="宋体"/>
          <w:color w:val="auto"/>
          <w:sz w:val="24"/>
        </w:rPr>
        <w:t>年   月   日</w:t>
      </w:r>
    </w:p>
    <w:p w14:paraId="25FE8B14">
      <w:pPr>
        <w:ind w:firstLine="480"/>
        <w:jc w:val="left"/>
        <w:rPr>
          <w:rFonts w:ascii="宋体" w:cs="等线 Light"/>
          <w:snapToGrid w:val="0"/>
          <w:color w:val="auto"/>
          <w:kern w:val="0"/>
          <w:sz w:val="24"/>
          <w:szCs w:val="24"/>
        </w:rPr>
      </w:pPr>
    </w:p>
    <w:p w14:paraId="01DB7EC6">
      <w:pPr>
        <w:ind w:firstLine="480"/>
        <w:jc w:val="left"/>
        <w:rPr>
          <w:rFonts w:ascii="宋体" w:cs="等线 Light"/>
          <w:snapToGrid w:val="0"/>
          <w:color w:val="auto"/>
          <w:kern w:val="0"/>
          <w:sz w:val="24"/>
          <w:szCs w:val="24"/>
        </w:rPr>
      </w:pPr>
    </w:p>
    <w:p w14:paraId="4FF6038A">
      <w:pPr>
        <w:ind w:firstLine="480"/>
        <w:jc w:val="left"/>
        <w:rPr>
          <w:rFonts w:ascii="宋体" w:cs="等线 Light"/>
          <w:snapToGrid w:val="0"/>
          <w:color w:val="auto"/>
          <w:kern w:val="0"/>
          <w:sz w:val="24"/>
          <w:szCs w:val="24"/>
        </w:rPr>
      </w:pPr>
    </w:p>
    <w:p w14:paraId="15B98734">
      <w:pPr>
        <w:ind w:firstLine="420"/>
        <w:rPr>
          <w:b/>
          <w:bCs/>
          <w:color w:val="auto"/>
        </w:rPr>
      </w:pPr>
      <w:r>
        <w:rPr>
          <w:rFonts w:hint="eastAsia"/>
          <w:color w:val="auto"/>
          <w:kern w:val="0"/>
        </w:rPr>
        <w:br w:type="page"/>
      </w:r>
    </w:p>
    <w:p w14:paraId="628EE603">
      <w:pPr>
        <w:pStyle w:val="59"/>
        <w:rPr>
          <w:rFonts w:hint="default"/>
          <w:color w:val="auto"/>
        </w:rPr>
      </w:pPr>
      <w:r>
        <w:rPr>
          <w:color w:val="auto"/>
        </w:rPr>
        <w:t>（2）中国执行信息公开网截图</w:t>
      </w:r>
    </w:p>
    <w:p w14:paraId="268486C1">
      <w:pPr>
        <w:ind w:firstLine="420"/>
        <w:rPr>
          <w:color w:val="auto"/>
        </w:rPr>
      </w:pPr>
      <w:r>
        <w:rPr>
          <w:rFonts w:hint="eastAsia"/>
          <w:color w:val="auto"/>
        </w:rPr>
        <w:t>1.法人在</w:t>
      </w:r>
      <w:r>
        <w:rPr>
          <w:color w:val="auto"/>
        </w:rPr>
        <w:t>中国执行信息公开网</w:t>
      </w:r>
      <w:r>
        <w:rPr>
          <w:rFonts w:hint="eastAsia"/>
          <w:color w:val="auto"/>
        </w:rPr>
        <w:t>的查询</w:t>
      </w:r>
      <w:r>
        <w:rPr>
          <w:color w:val="auto"/>
        </w:rPr>
        <w:t>截图</w:t>
      </w:r>
    </w:p>
    <w:p w14:paraId="332425F9">
      <w:pPr>
        <w:ind w:firstLine="420"/>
        <w:rPr>
          <w:color w:val="auto"/>
        </w:rPr>
      </w:pPr>
      <w:r>
        <w:rPr>
          <w:rFonts w:hint="eastAsia"/>
          <w:color w:val="auto"/>
        </w:rPr>
        <w:t>2.法定代表人在</w:t>
      </w:r>
      <w:r>
        <w:rPr>
          <w:color w:val="auto"/>
        </w:rPr>
        <w:t>中国执行信息公开网</w:t>
      </w:r>
      <w:r>
        <w:rPr>
          <w:rFonts w:hint="eastAsia"/>
          <w:color w:val="auto"/>
        </w:rPr>
        <w:t>的查询</w:t>
      </w:r>
      <w:r>
        <w:rPr>
          <w:color w:val="auto"/>
        </w:rPr>
        <w:t>截图</w:t>
      </w:r>
    </w:p>
    <w:p w14:paraId="6E3D200D">
      <w:pPr>
        <w:ind w:firstLine="420"/>
        <w:rPr>
          <w:color w:val="auto"/>
        </w:rPr>
      </w:pPr>
    </w:p>
    <w:p w14:paraId="4E2147BF">
      <w:pPr>
        <w:ind w:firstLine="420"/>
        <w:rPr>
          <w:color w:val="auto"/>
        </w:rPr>
      </w:pPr>
      <w:r>
        <w:rPr>
          <w:rFonts w:hint="eastAsia"/>
          <w:color w:val="auto"/>
        </w:rPr>
        <w:t>示例1：</w:t>
      </w:r>
    </w:p>
    <w:p w14:paraId="599B25D0">
      <w:pPr>
        <w:pStyle w:val="10"/>
        <w:ind w:firstLine="420"/>
        <w:rPr>
          <w:color w:val="auto"/>
        </w:rPr>
      </w:pPr>
      <w:r>
        <w:rPr>
          <w:color w:val="auto"/>
        </w:rPr>
        <w:drawing>
          <wp:inline distT="0" distB="0" distL="114300" distR="114300">
            <wp:extent cx="7142480" cy="3833495"/>
            <wp:effectExtent l="0" t="0" r="1460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rot="5400000">
                      <a:off x="0" y="0"/>
                      <a:ext cx="7142480" cy="3833495"/>
                    </a:xfrm>
                    <a:prstGeom prst="rect">
                      <a:avLst/>
                    </a:prstGeom>
                    <a:noFill/>
                    <a:ln>
                      <a:noFill/>
                    </a:ln>
                  </pic:spPr>
                </pic:pic>
              </a:graphicData>
            </a:graphic>
          </wp:inline>
        </w:drawing>
      </w:r>
    </w:p>
    <w:p w14:paraId="13BD5C1E">
      <w:pPr>
        <w:ind w:firstLine="420"/>
        <w:rPr>
          <w:color w:val="auto"/>
        </w:rPr>
      </w:pPr>
      <w:r>
        <w:rPr>
          <w:rFonts w:hint="eastAsia"/>
          <w:color w:val="auto"/>
        </w:rPr>
        <w:t>示例2：</w:t>
      </w:r>
    </w:p>
    <w:p w14:paraId="54EFBFD7">
      <w:pPr>
        <w:ind w:firstLine="420"/>
        <w:rPr>
          <w:color w:val="auto"/>
        </w:rPr>
      </w:pPr>
      <w:r>
        <w:rPr>
          <w:color w:val="auto"/>
        </w:rPr>
        <w:drawing>
          <wp:inline distT="0" distB="0" distL="114300" distR="114300">
            <wp:extent cx="7285990" cy="4110990"/>
            <wp:effectExtent l="0" t="0" r="381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stretch>
                      <a:fillRect/>
                    </a:stretch>
                  </pic:blipFill>
                  <pic:spPr>
                    <a:xfrm rot="5400000">
                      <a:off x="0" y="0"/>
                      <a:ext cx="7285990" cy="4110990"/>
                    </a:xfrm>
                    <a:prstGeom prst="rect">
                      <a:avLst/>
                    </a:prstGeom>
                    <a:noFill/>
                    <a:ln>
                      <a:noFill/>
                    </a:ln>
                  </pic:spPr>
                </pic:pic>
              </a:graphicData>
            </a:graphic>
          </wp:inline>
        </w:drawing>
      </w:r>
    </w:p>
    <w:p w14:paraId="7A0D3C00">
      <w:pPr>
        <w:ind w:firstLine="420"/>
        <w:rPr>
          <w:color w:val="auto"/>
        </w:rPr>
      </w:pPr>
      <w:r>
        <w:rPr>
          <w:rFonts w:hint="eastAsia"/>
          <w:color w:val="auto"/>
        </w:rPr>
        <w:br w:type="page"/>
      </w:r>
    </w:p>
    <w:p w14:paraId="590E3A30">
      <w:pPr>
        <w:pStyle w:val="59"/>
        <w:rPr>
          <w:rFonts w:hint="default"/>
          <w:color w:val="auto"/>
        </w:rPr>
      </w:pPr>
      <w:r>
        <w:rPr>
          <w:color w:val="auto"/>
          <w:lang w:val="zh-CN"/>
        </w:rPr>
        <w:t>（</w:t>
      </w:r>
      <w:r>
        <w:rPr>
          <w:color w:val="auto"/>
        </w:rPr>
        <w:t>3</w:t>
      </w:r>
      <w:r>
        <w:rPr>
          <w:color w:val="auto"/>
          <w:lang w:val="zh-CN"/>
        </w:rPr>
        <w:t>）项目案例</w:t>
      </w:r>
      <w:r>
        <w:rPr>
          <w:color w:val="auto"/>
        </w:rPr>
        <w:t>和业绩证明文件扫描件</w:t>
      </w:r>
    </w:p>
    <w:p w14:paraId="6AD35425">
      <w:pPr>
        <w:ind w:firstLine="420"/>
        <w:rPr>
          <w:rFonts w:hint="eastAsia"/>
          <w:color w:val="auto"/>
        </w:rPr>
      </w:pPr>
      <w:r>
        <w:rPr>
          <w:rFonts w:hint="eastAsia"/>
          <w:color w:val="auto"/>
        </w:rPr>
        <w:t>1、合同关键页（合同关键页包含：甲乙双方名称、双方印章、项目名称、合同签订时间、服务范围。）；</w:t>
      </w:r>
    </w:p>
    <w:p w14:paraId="7AF5A0CA">
      <w:pPr>
        <w:ind w:firstLine="420"/>
        <w:rPr>
          <w:rFonts w:hint="eastAsia"/>
          <w:color w:val="auto"/>
        </w:rPr>
      </w:pPr>
      <w:r>
        <w:rPr>
          <w:rFonts w:hint="eastAsia"/>
          <w:color w:val="auto"/>
        </w:rPr>
        <w:t>2、项目简介（格式自拟）；</w:t>
      </w:r>
    </w:p>
    <w:p w14:paraId="4BA6A1D9">
      <w:pPr>
        <w:ind w:firstLine="420"/>
        <w:rPr>
          <w:color w:val="auto"/>
        </w:rPr>
      </w:pPr>
      <w:r>
        <w:rPr>
          <w:rFonts w:hint="eastAsia"/>
          <w:color w:val="auto"/>
        </w:rPr>
        <w:t>3、国产化案例须在合同项目名称或建设内容中明确体现适配国产操作系统、中间件、数据库等内容。</w:t>
      </w:r>
    </w:p>
    <w:p w14:paraId="56D1FC57">
      <w:pPr>
        <w:ind w:firstLine="420"/>
        <w:rPr>
          <w:color w:val="auto"/>
        </w:rPr>
        <w:sectPr>
          <w:pgSz w:w="11906" w:h="16838"/>
          <w:pgMar w:top="1440" w:right="1800" w:bottom="1440" w:left="1803" w:header="851" w:footer="992" w:gutter="0"/>
          <w:pgNumType w:fmt="decimal"/>
          <w:cols w:space="425" w:num="1"/>
          <w:docGrid w:type="lines" w:linePitch="312" w:charSpace="0"/>
        </w:sectPr>
      </w:pPr>
    </w:p>
    <w:p w14:paraId="02AE9A31">
      <w:pPr>
        <w:pStyle w:val="59"/>
        <w:rPr>
          <w:rFonts w:hint="default"/>
          <w:color w:val="auto"/>
        </w:rPr>
      </w:pPr>
      <w:r>
        <w:rPr>
          <w:color w:val="auto"/>
        </w:rPr>
        <w:t>（4）近三年（2023年、2024年、2025年）经审计的财务报表</w:t>
      </w:r>
    </w:p>
    <w:p w14:paraId="672C39E4">
      <w:pPr>
        <w:ind w:firstLine="420"/>
        <w:rPr>
          <w:color w:val="auto"/>
        </w:rPr>
      </w:pPr>
    </w:p>
    <w:p w14:paraId="14365E65">
      <w:pPr>
        <w:pStyle w:val="10"/>
        <w:ind w:firstLine="420"/>
        <w:rPr>
          <w:color w:val="auto"/>
        </w:rPr>
        <w:sectPr>
          <w:pgSz w:w="11906" w:h="16838"/>
          <w:pgMar w:top="1440" w:right="1800" w:bottom="1440" w:left="1803" w:header="851" w:footer="992" w:gutter="0"/>
          <w:pgNumType w:fmt="decimal"/>
          <w:cols w:space="425" w:num="1"/>
          <w:docGrid w:type="lines" w:linePitch="312" w:charSpace="0"/>
        </w:sectPr>
      </w:pPr>
    </w:p>
    <w:p w14:paraId="5850E101">
      <w:pPr>
        <w:pStyle w:val="59"/>
        <w:rPr>
          <w:rFonts w:hint="default"/>
          <w:color w:val="auto"/>
        </w:rPr>
      </w:pPr>
      <w:r>
        <w:rPr>
          <w:color w:val="auto"/>
        </w:rPr>
        <w:t>（5）响应承诺函</w:t>
      </w:r>
    </w:p>
    <w:p w14:paraId="2C5D0918">
      <w:pPr>
        <w:ind w:firstLine="420"/>
        <w:rPr>
          <w:color w:val="auto"/>
        </w:rPr>
      </w:pPr>
      <w:r>
        <w:rPr>
          <w:rFonts w:hint="eastAsia"/>
          <w:color w:val="auto"/>
        </w:rPr>
        <w:t>注：按照询比文件第二章响应人须知前附表 1.4.1 项相关内容提供承诺函，承诺函格式自拟。</w:t>
      </w:r>
    </w:p>
    <w:p w14:paraId="384C8EBE">
      <w:pPr>
        <w:ind w:firstLine="420"/>
        <w:rPr>
          <w:color w:val="auto"/>
        </w:rPr>
      </w:pPr>
    </w:p>
    <w:p w14:paraId="61BBC6D4">
      <w:pPr>
        <w:pStyle w:val="10"/>
        <w:ind w:firstLine="420"/>
        <w:rPr>
          <w:color w:val="auto"/>
        </w:rPr>
        <w:sectPr>
          <w:pgSz w:w="11906" w:h="16838"/>
          <w:pgMar w:top="1440" w:right="1800" w:bottom="1440" w:left="1803" w:header="851" w:footer="992" w:gutter="0"/>
          <w:pgNumType w:fmt="decimal"/>
          <w:cols w:space="425" w:num="1"/>
          <w:docGrid w:type="lines" w:linePitch="312" w:charSpace="0"/>
        </w:sectPr>
      </w:pPr>
    </w:p>
    <w:p w14:paraId="50134D87">
      <w:pPr>
        <w:pStyle w:val="59"/>
        <w:rPr>
          <w:rFonts w:hint="default"/>
          <w:color w:val="auto"/>
          <w:lang w:val="zh-CN"/>
        </w:rPr>
      </w:pPr>
      <w:r>
        <w:rPr>
          <w:color w:val="auto"/>
          <w:lang w:val="zh-CN"/>
        </w:rPr>
        <w:t>（</w:t>
      </w:r>
      <w:r>
        <w:rPr>
          <w:color w:val="auto"/>
        </w:rPr>
        <w:t>6</w:t>
      </w:r>
      <w:r>
        <w:rPr>
          <w:color w:val="auto"/>
          <w:lang w:val="zh-CN"/>
        </w:rPr>
        <w:t>）</w:t>
      </w:r>
      <w:r>
        <w:rPr>
          <w:color w:val="auto"/>
        </w:rPr>
        <w:t>售后服务和培训方案</w:t>
      </w:r>
    </w:p>
    <w:p w14:paraId="49945932">
      <w:pPr>
        <w:ind w:firstLine="420"/>
        <w:rPr>
          <w:color w:val="auto"/>
        </w:rPr>
      </w:pPr>
    </w:p>
    <w:p w14:paraId="1E52988D">
      <w:pPr>
        <w:ind w:firstLine="420"/>
        <w:rPr>
          <w:color w:val="auto"/>
        </w:rPr>
      </w:pPr>
    </w:p>
    <w:p w14:paraId="268D88E6">
      <w:pPr>
        <w:ind w:firstLine="420"/>
        <w:rPr>
          <w:color w:val="auto"/>
        </w:rPr>
        <w:sectPr>
          <w:pgSz w:w="11906" w:h="16838"/>
          <w:pgMar w:top="1440" w:right="1800" w:bottom="1440" w:left="1803" w:header="851" w:footer="992" w:gutter="0"/>
          <w:pgNumType w:fmt="decimal"/>
          <w:cols w:space="425" w:num="1"/>
          <w:docGrid w:type="lines" w:linePitch="312" w:charSpace="0"/>
        </w:sectPr>
      </w:pPr>
    </w:p>
    <w:p w14:paraId="6F9C5854">
      <w:pPr>
        <w:pStyle w:val="59"/>
        <w:rPr>
          <w:rFonts w:hint="default"/>
          <w:color w:val="auto"/>
          <w:lang w:val="zh-CN"/>
        </w:rPr>
      </w:pPr>
      <w:r>
        <w:rPr>
          <w:color w:val="auto"/>
          <w:lang w:val="zh-CN"/>
        </w:rPr>
        <w:t>（</w:t>
      </w:r>
      <w:r>
        <w:rPr>
          <w:color w:val="auto"/>
        </w:rPr>
        <w:t>7</w:t>
      </w:r>
      <w:r>
        <w:rPr>
          <w:color w:val="auto"/>
          <w:lang w:val="zh-CN"/>
        </w:rPr>
        <w:t>）</w:t>
      </w:r>
      <w:bookmarkStart w:id="1173" w:name="OLE_LINK2"/>
      <w:r>
        <w:rPr>
          <w:color w:val="auto"/>
        </w:rPr>
        <w:t>服务水平协议</w:t>
      </w:r>
      <w:bookmarkEnd w:id="1173"/>
      <w:r>
        <w:rPr>
          <w:color w:val="auto"/>
        </w:rPr>
        <w:t>（SLA）</w:t>
      </w:r>
    </w:p>
    <w:tbl>
      <w:tblPr>
        <w:tblStyle w:val="19"/>
        <w:tblW w:w="13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82"/>
        <w:gridCol w:w="725"/>
        <w:gridCol w:w="3412"/>
        <w:gridCol w:w="4463"/>
        <w:gridCol w:w="2375"/>
        <w:gridCol w:w="775"/>
        <w:gridCol w:w="745"/>
      </w:tblGrid>
      <w:tr w14:paraId="21DB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FC3AA37">
            <w:pPr>
              <w:pStyle w:val="44"/>
              <w:rPr>
                <w:color w:val="auto"/>
              </w:rPr>
            </w:pPr>
            <w:r>
              <w:rPr>
                <w:color w:val="auto"/>
              </w:rPr>
              <w:t>序号</w:t>
            </w:r>
          </w:p>
        </w:tc>
        <w:tc>
          <w:tcPr>
            <w:tcW w:w="782" w:type="dxa"/>
            <w:vAlign w:val="center"/>
          </w:tcPr>
          <w:p w14:paraId="6ADBD6C7">
            <w:pPr>
              <w:pStyle w:val="44"/>
              <w:rPr>
                <w:color w:val="auto"/>
              </w:rPr>
            </w:pPr>
            <w:r>
              <w:rPr>
                <w:color w:val="auto"/>
              </w:rPr>
              <w:t>评价维度</w:t>
            </w:r>
          </w:p>
        </w:tc>
        <w:tc>
          <w:tcPr>
            <w:tcW w:w="725" w:type="dxa"/>
            <w:vAlign w:val="center"/>
          </w:tcPr>
          <w:p w14:paraId="37853A64">
            <w:pPr>
              <w:pStyle w:val="44"/>
              <w:rPr>
                <w:color w:val="auto"/>
              </w:rPr>
            </w:pPr>
            <w:r>
              <w:rPr>
                <w:color w:val="auto"/>
              </w:rPr>
              <w:t>评价指标</w:t>
            </w:r>
          </w:p>
        </w:tc>
        <w:tc>
          <w:tcPr>
            <w:tcW w:w="3412" w:type="dxa"/>
            <w:vAlign w:val="center"/>
          </w:tcPr>
          <w:p w14:paraId="202E1D7A">
            <w:pPr>
              <w:pStyle w:val="44"/>
              <w:rPr>
                <w:color w:val="auto"/>
              </w:rPr>
            </w:pPr>
            <w:r>
              <w:rPr>
                <w:color w:val="auto"/>
              </w:rPr>
              <w:t>指标定义</w:t>
            </w:r>
          </w:p>
        </w:tc>
        <w:tc>
          <w:tcPr>
            <w:tcW w:w="4463" w:type="dxa"/>
            <w:vAlign w:val="center"/>
          </w:tcPr>
          <w:p w14:paraId="575A1853">
            <w:pPr>
              <w:pStyle w:val="44"/>
              <w:rPr>
                <w:color w:val="auto"/>
              </w:rPr>
            </w:pPr>
            <w:r>
              <w:rPr>
                <w:color w:val="auto"/>
              </w:rPr>
              <w:t>评分</w:t>
            </w:r>
            <w:r>
              <w:rPr>
                <w:rFonts w:hint="eastAsia"/>
                <w:color w:val="auto"/>
              </w:rPr>
              <w:t>/价</w:t>
            </w:r>
            <w:r>
              <w:rPr>
                <w:color w:val="auto"/>
              </w:rPr>
              <w:t>标准</w:t>
            </w:r>
          </w:p>
        </w:tc>
        <w:tc>
          <w:tcPr>
            <w:tcW w:w="2375" w:type="dxa"/>
            <w:vAlign w:val="center"/>
          </w:tcPr>
          <w:p w14:paraId="4BC1F518">
            <w:pPr>
              <w:pStyle w:val="44"/>
              <w:rPr>
                <w:color w:val="auto"/>
              </w:rPr>
            </w:pPr>
            <w:r>
              <w:rPr>
                <w:rFonts w:hint="eastAsia"/>
                <w:color w:val="auto"/>
              </w:rPr>
              <w:t>违约金标准</w:t>
            </w:r>
          </w:p>
        </w:tc>
        <w:tc>
          <w:tcPr>
            <w:tcW w:w="775" w:type="dxa"/>
            <w:vAlign w:val="center"/>
          </w:tcPr>
          <w:p w14:paraId="10D320FC">
            <w:pPr>
              <w:pStyle w:val="44"/>
              <w:rPr>
                <w:color w:val="auto"/>
              </w:rPr>
            </w:pPr>
            <w:r>
              <w:rPr>
                <w:color w:val="auto"/>
              </w:rPr>
              <w:t>评价结果</w:t>
            </w:r>
          </w:p>
        </w:tc>
        <w:tc>
          <w:tcPr>
            <w:tcW w:w="745" w:type="dxa"/>
            <w:vAlign w:val="center"/>
          </w:tcPr>
          <w:p w14:paraId="0885506E">
            <w:pPr>
              <w:pStyle w:val="44"/>
              <w:rPr>
                <w:color w:val="auto"/>
              </w:rPr>
            </w:pPr>
            <w:r>
              <w:rPr>
                <w:color w:val="auto"/>
              </w:rPr>
              <w:t>评价得分</w:t>
            </w:r>
          </w:p>
        </w:tc>
      </w:tr>
      <w:tr w14:paraId="3E58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58DB1C5">
            <w:pPr>
              <w:pStyle w:val="54"/>
              <w:rPr>
                <w:rFonts w:hint="default"/>
                <w:color w:val="auto"/>
              </w:rPr>
            </w:pPr>
            <w:r>
              <w:rPr>
                <w:color w:val="auto"/>
              </w:rPr>
              <w:t>1</w:t>
            </w:r>
          </w:p>
        </w:tc>
        <w:tc>
          <w:tcPr>
            <w:tcW w:w="782" w:type="dxa"/>
            <w:vMerge w:val="restart"/>
            <w:tcBorders>
              <w:left w:val="single" w:color="auto" w:sz="4" w:space="0"/>
            </w:tcBorders>
            <w:vAlign w:val="center"/>
          </w:tcPr>
          <w:p w14:paraId="66016EE9">
            <w:pPr>
              <w:pStyle w:val="54"/>
              <w:rPr>
                <w:rFonts w:hint="default"/>
                <w:color w:val="auto"/>
              </w:rPr>
            </w:pPr>
            <w:r>
              <w:rPr>
                <w:color w:val="auto"/>
              </w:rPr>
              <w:t>服务质量</w:t>
            </w:r>
          </w:p>
        </w:tc>
        <w:tc>
          <w:tcPr>
            <w:tcW w:w="725" w:type="dxa"/>
            <w:tcBorders>
              <w:left w:val="single" w:color="auto" w:sz="4" w:space="0"/>
            </w:tcBorders>
            <w:vAlign w:val="center"/>
          </w:tcPr>
          <w:p w14:paraId="744E5CA4">
            <w:pPr>
              <w:pStyle w:val="54"/>
              <w:rPr>
                <w:rFonts w:hint="default"/>
                <w:color w:val="auto"/>
              </w:rPr>
            </w:pPr>
            <w:r>
              <w:rPr>
                <w:color w:val="auto"/>
              </w:rPr>
              <w:t>交付成果质量</w:t>
            </w:r>
          </w:p>
        </w:tc>
        <w:tc>
          <w:tcPr>
            <w:tcW w:w="3412" w:type="dxa"/>
            <w:tcBorders>
              <w:left w:val="single" w:color="auto" w:sz="4" w:space="0"/>
            </w:tcBorders>
            <w:vAlign w:val="center"/>
          </w:tcPr>
          <w:p w14:paraId="48F36465">
            <w:pPr>
              <w:ind w:firstLine="420"/>
              <w:rPr>
                <w:rFonts w:ascii="宋体"/>
                <w:color w:val="auto"/>
                <w:szCs w:val="21"/>
              </w:rPr>
            </w:pPr>
            <w:r>
              <w:rPr>
                <w:rFonts w:ascii="宋体"/>
                <w:color w:val="auto"/>
                <w:szCs w:val="21"/>
              </w:rPr>
              <w:t>用于记录</w:t>
            </w:r>
            <w:r>
              <w:rPr>
                <w:rFonts w:hint="eastAsia" w:ascii="宋体"/>
                <w:color w:val="auto"/>
                <w:szCs w:val="21"/>
              </w:rPr>
              <w:t>乙方</w:t>
            </w:r>
            <w:r>
              <w:rPr>
                <w:rFonts w:ascii="宋体"/>
                <w:color w:val="auto"/>
                <w:szCs w:val="21"/>
              </w:rPr>
              <w:t>所提交的项目交付成果（含数据标准执行、数据质量管控）与</w:t>
            </w:r>
            <w:r>
              <w:rPr>
                <w:rFonts w:hint="eastAsia" w:ascii="宋体"/>
                <w:color w:val="auto"/>
                <w:szCs w:val="21"/>
              </w:rPr>
              <w:t>甲方</w:t>
            </w:r>
            <w:r>
              <w:rPr>
                <w:rFonts w:ascii="宋体"/>
                <w:color w:val="auto"/>
                <w:szCs w:val="21"/>
              </w:rPr>
              <w:t>要求的项目交付成果的契合度或交付成果质量与合同所约定要求的项目交付成果质量的满足程度</w:t>
            </w:r>
          </w:p>
        </w:tc>
        <w:tc>
          <w:tcPr>
            <w:tcW w:w="4463" w:type="dxa"/>
            <w:tcBorders>
              <w:left w:val="single" w:color="auto" w:sz="4" w:space="0"/>
            </w:tcBorders>
            <w:vAlign w:val="center"/>
          </w:tcPr>
          <w:p w14:paraId="27077403">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乙方</w:t>
            </w:r>
            <w:r>
              <w:rPr>
                <w:rFonts w:ascii="宋体"/>
                <w:color w:val="auto"/>
                <w:szCs w:val="21"/>
              </w:rPr>
              <w:t>能够主动快速与</w:t>
            </w:r>
            <w:r>
              <w:rPr>
                <w:rFonts w:hint="eastAsia" w:ascii="宋体"/>
                <w:color w:val="auto"/>
                <w:szCs w:val="21"/>
              </w:rPr>
              <w:t>甲方</w:t>
            </w:r>
            <w:r>
              <w:rPr>
                <w:rFonts w:ascii="宋体"/>
                <w:color w:val="auto"/>
                <w:szCs w:val="21"/>
              </w:rPr>
              <w:t>进行有效的沟通，交付成果高度契合需求，完全满足并超出合同约定的预期目标，给</w:t>
            </w:r>
            <w:r>
              <w:rPr>
                <w:rFonts w:hint="eastAsia" w:ascii="宋体"/>
                <w:color w:val="auto"/>
                <w:szCs w:val="21"/>
              </w:rPr>
              <w:t>甲方</w:t>
            </w:r>
            <w:r>
              <w:rPr>
                <w:rFonts w:ascii="宋体"/>
                <w:color w:val="auto"/>
                <w:szCs w:val="21"/>
              </w:rPr>
              <w:t>带来显著的附加价值</w:t>
            </w:r>
            <w:r>
              <w:rPr>
                <w:rFonts w:hint="eastAsia" w:ascii="宋体"/>
                <w:color w:val="auto"/>
                <w:szCs w:val="21"/>
              </w:rPr>
              <w:t>；</w:t>
            </w:r>
          </w:p>
          <w:p w14:paraId="77C3E354">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乙方</w:t>
            </w:r>
            <w:r>
              <w:rPr>
                <w:rFonts w:ascii="宋体"/>
                <w:color w:val="auto"/>
                <w:szCs w:val="21"/>
              </w:rPr>
              <w:t>能够快速响应需求，交付成果达到合同约定的预期目标，基本契合需求，满足合同约定的预期目标</w:t>
            </w:r>
            <w:r>
              <w:rPr>
                <w:rFonts w:hint="eastAsia" w:ascii="宋体"/>
                <w:color w:val="auto"/>
                <w:szCs w:val="21"/>
              </w:rPr>
              <w:t>；</w:t>
            </w:r>
          </w:p>
          <w:p w14:paraId="66542CA2">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乙方</w:t>
            </w:r>
            <w:r>
              <w:rPr>
                <w:rFonts w:ascii="宋体"/>
                <w:color w:val="auto"/>
                <w:szCs w:val="21"/>
              </w:rPr>
              <w:t>能够按要求响应需求，交付成果</w:t>
            </w:r>
            <w:r>
              <w:rPr>
                <w:rFonts w:hint="eastAsia" w:ascii="宋体"/>
                <w:color w:val="auto"/>
                <w:szCs w:val="21"/>
              </w:rPr>
              <w:t>基本满足</w:t>
            </w:r>
            <w:r>
              <w:rPr>
                <w:rFonts w:ascii="宋体"/>
                <w:color w:val="auto"/>
                <w:szCs w:val="21"/>
              </w:rPr>
              <w:t>需求，但是总体可满足合同约定的预期目标</w:t>
            </w:r>
            <w:r>
              <w:rPr>
                <w:rFonts w:hint="eastAsia" w:ascii="宋体"/>
                <w:color w:val="auto"/>
                <w:szCs w:val="21"/>
              </w:rPr>
              <w:t>；</w:t>
            </w:r>
          </w:p>
          <w:p w14:paraId="6FC0CF71">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乙方未</w:t>
            </w:r>
            <w:r>
              <w:rPr>
                <w:rFonts w:ascii="宋体"/>
                <w:color w:val="auto"/>
                <w:szCs w:val="21"/>
              </w:rPr>
              <w:t>能够按要求响应需求，</w:t>
            </w:r>
            <w:r>
              <w:rPr>
                <w:rFonts w:hint="eastAsia" w:ascii="宋体"/>
                <w:color w:val="auto"/>
                <w:szCs w:val="21"/>
              </w:rPr>
              <w:t>或</w:t>
            </w:r>
            <w:r>
              <w:rPr>
                <w:rFonts w:ascii="宋体"/>
                <w:color w:val="auto"/>
                <w:szCs w:val="21"/>
              </w:rPr>
              <w:t>交付成果与需求</w:t>
            </w:r>
            <w:r>
              <w:rPr>
                <w:rFonts w:hint="eastAsia" w:ascii="宋体"/>
                <w:color w:val="auto"/>
                <w:szCs w:val="21"/>
              </w:rPr>
              <w:t>契合度</w:t>
            </w:r>
            <w:r>
              <w:rPr>
                <w:rFonts w:ascii="宋体"/>
                <w:color w:val="auto"/>
                <w:szCs w:val="21"/>
              </w:rPr>
              <w:t>差距较大，无法达到合同约定的预期目标</w:t>
            </w:r>
            <w:r>
              <w:rPr>
                <w:rFonts w:hint="eastAsia" w:ascii="宋体"/>
                <w:color w:val="auto"/>
                <w:szCs w:val="21"/>
              </w:rPr>
              <w:t>。</w:t>
            </w:r>
          </w:p>
        </w:tc>
        <w:tc>
          <w:tcPr>
            <w:tcW w:w="2375" w:type="dxa"/>
            <w:tcBorders>
              <w:left w:val="single" w:color="auto" w:sz="4" w:space="0"/>
            </w:tcBorders>
            <w:vAlign w:val="center"/>
          </w:tcPr>
          <w:p w14:paraId="487EB48A">
            <w:pPr>
              <w:ind w:firstLine="420"/>
              <w:rPr>
                <w:rFonts w:ascii="宋体"/>
                <w:color w:val="auto"/>
                <w:szCs w:val="21"/>
              </w:rPr>
            </w:pPr>
            <w:r>
              <w:rPr>
                <w:rFonts w:hint="eastAsia" w:ascii="宋体"/>
                <w:color w:val="auto"/>
                <w:szCs w:val="21"/>
              </w:rPr>
              <w:t>交付成果每缺少一项扣除乙方金额人民币2</w:t>
            </w:r>
            <w:r>
              <w:rPr>
                <w:rFonts w:ascii="宋体"/>
                <w:color w:val="auto"/>
                <w:szCs w:val="21"/>
              </w:rPr>
              <w:t>000</w:t>
            </w:r>
            <w:r>
              <w:rPr>
                <w:rFonts w:hint="eastAsia" w:ascii="宋体"/>
                <w:color w:val="auto"/>
                <w:szCs w:val="21"/>
              </w:rPr>
              <w:t>元；每有一项交付成果质量不合格扣除乙方金额人民币2</w:t>
            </w:r>
            <w:r>
              <w:rPr>
                <w:rFonts w:ascii="宋体"/>
                <w:color w:val="auto"/>
                <w:szCs w:val="21"/>
              </w:rPr>
              <w:t>000</w:t>
            </w:r>
            <w:r>
              <w:rPr>
                <w:rFonts w:hint="eastAsia" w:ascii="宋体"/>
                <w:color w:val="auto"/>
                <w:szCs w:val="21"/>
              </w:rPr>
              <w:t>元。</w:t>
            </w:r>
          </w:p>
          <w:p w14:paraId="1B097CAE">
            <w:pPr>
              <w:ind w:firstLine="420"/>
              <w:rPr>
                <w:rFonts w:ascii="宋体"/>
                <w:color w:val="auto"/>
                <w:szCs w:val="21"/>
              </w:rPr>
            </w:pPr>
            <w:r>
              <w:rPr>
                <w:rFonts w:hint="eastAsia" w:ascii="宋体"/>
                <w:color w:val="auto"/>
                <w:szCs w:val="21"/>
              </w:rPr>
              <w:t>若出现</w:t>
            </w:r>
            <w:r>
              <w:rPr>
                <w:rFonts w:ascii="宋体"/>
                <w:color w:val="auto"/>
                <w:szCs w:val="21"/>
              </w:rPr>
              <w:t>重大数据质量问题</w:t>
            </w:r>
            <w:r>
              <w:rPr>
                <w:rFonts w:hint="eastAsia" w:ascii="宋体"/>
                <w:color w:val="auto"/>
                <w:szCs w:val="21"/>
              </w:rPr>
              <w:t>导致严重后果，或被上级或监管单位通报的，扣除乙方合同总金额不低于5%</w:t>
            </w:r>
            <w:r>
              <w:rPr>
                <w:rFonts w:ascii="宋体"/>
                <w:color w:val="auto"/>
                <w:szCs w:val="21"/>
              </w:rPr>
              <w:t>。</w:t>
            </w:r>
          </w:p>
        </w:tc>
        <w:tc>
          <w:tcPr>
            <w:tcW w:w="775" w:type="dxa"/>
            <w:tcBorders>
              <w:left w:val="single" w:color="auto" w:sz="4" w:space="0"/>
            </w:tcBorders>
            <w:vAlign w:val="center"/>
          </w:tcPr>
          <w:p w14:paraId="48316AAB">
            <w:pPr>
              <w:ind w:firstLine="420"/>
              <w:jc w:val="left"/>
              <w:rPr>
                <w:rFonts w:ascii="宋体"/>
                <w:color w:val="auto"/>
                <w:szCs w:val="21"/>
              </w:rPr>
            </w:pPr>
          </w:p>
        </w:tc>
        <w:tc>
          <w:tcPr>
            <w:tcW w:w="745" w:type="dxa"/>
            <w:tcBorders>
              <w:left w:val="single" w:color="auto" w:sz="4" w:space="0"/>
            </w:tcBorders>
            <w:vAlign w:val="center"/>
          </w:tcPr>
          <w:p w14:paraId="31C047D3">
            <w:pPr>
              <w:ind w:firstLine="420"/>
              <w:jc w:val="left"/>
              <w:rPr>
                <w:rFonts w:ascii="宋体"/>
                <w:color w:val="auto"/>
                <w:szCs w:val="21"/>
              </w:rPr>
            </w:pPr>
          </w:p>
        </w:tc>
      </w:tr>
      <w:tr w14:paraId="2B31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2C2EAC5">
            <w:pPr>
              <w:pStyle w:val="54"/>
              <w:rPr>
                <w:rFonts w:hint="default"/>
                <w:color w:val="auto"/>
              </w:rPr>
            </w:pPr>
            <w:r>
              <w:rPr>
                <w:color w:val="auto"/>
              </w:rPr>
              <w:t>2</w:t>
            </w:r>
          </w:p>
        </w:tc>
        <w:tc>
          <w:tcPr>
            <w:tcW w:w="782" w:type="dxa"/>
            <w:vMerge w:val="continue"/>
            <w:tcBorders>
              <w:left w:val="single" w:color="auto" w:sz="4" w:space="0"/>
            </w:tcBorders>
          </w:tcPr>
          <w:p w14:paraId="5C9F4C05">
            <w:pPr>
              <w:pStyle w:val="54"/>
              <w:rPr>
                <w:rFonts w:hint="default"/>
                <w:color w:val="auto"/>
              </w:rPr>
            </w:pPr>
          </w:p>
        </w:tc>
        <w:tc>
          <w:tcPr>
            <w:tcW w:w="725" w:type="dxa"/>
            <w:tcBorders>
              <w:left w:val="single" w:color="auto" w:sz="4" w:space="0"/>
            </w:tcBorders>
            <w:vAlign w:val="center"/>
          </w:tcPr>
          <w:p w14:paraId="1BD6AE62">
            <w:pPr>
              <w:pStyle w:val="54"/>
              <w:rPr>
                <w:rFonts w:hint="default"/>
                <w:color w:val="auto"/>
              </w:rPr>
            </w:pPr>
            <w:r>
              <w:rPr>
                <w:color w:val="auto"/>
              </w:rPr>
              <w:t>成果交付延期情况</w:t>
            </w:r>
          </w:p>
        </w:tc>
        <w:tc>
          <w:tcPr>
            <w:tcW w:w="3412" w:type="dxa"/>
            <w:tcBorders>
              <w:left w:val="single" w:color="auto" w:sz="4" w:space="0"/>
            </w:tcBorders>
            <w:vAlign w:val="center"/>
          </w:tcPr>
          <w:p w14:paraId="14E8137C">
            <w:pPr>
              <w:ind w:firstLine="420"/>
              <w:rPr>
                <w:rFonts w:ascii="宋体"/>
                <w:color w:val="auto"/>
                <w:szCs w:val="21"/>
              </w:rPr>
            </w:pPr>
            <w:r>
              <w:rPr>
                <w:rFonts w:ascii="宋体"/>
                <w:color w:val="auto"/>
                <w:szCs w:val="21"/>
              </w:rPr>
              <w:t>用于记录</w:t>
            </w:r>
            <w:r>
              <w:rPr>
                <w:rFonts w:hint="eastAsia" w:ascii="宋体"/>
                <w:color w:val="auto"/>
                <w:szCs w:val="21"/>
              </w:rPr>
              <w:t>因乙方原因导致</w:t>
            </w:r>
            <w:r>
              <w:rPr>
                <w:rFonts w:ascii="宋体"/>
                <w:color w:val="auto"/>
                <w:szCs w:val="21"/>
              </w:rPr>
              <w:t>项目交付成果时间与合同规定时间之间的差距</w:t>
            </w:r>
          </w:p>
        </w:tc>
        <w:tc>
          <w:tcPr>
            <w:tcW w:w="4463" w:type="dxa"/>
            <w:tcBorders>
              <w:left w:val="single" w:color="auto" w:sz="4" w:space="0"/>
            </w:tcBorders>
            <w:vAlign w:val="center"/>
          </w:tcPr>
          <w:p w14:paraId="61FFD40C">
            <w:pPr>
              <w:ind w:firstLine="420"/>
              <w:rPr>
                <w:rFonts w:ascii="宋体"/>
                <w:color w:val="auto"/>
                <w:szCs w:val="21"/>
              </w:rPr>
            </w:pPr>
            <w:r>
              <w:rPr>
                <w:rFonts w:hint="eastAsia" w:ascii="宋体"/>
                <w:color w:val="auto"/>
                <w:szCs w:val="21"/>
              </w:rPr>
              <w:t>实</w:t>
            </w:r>
            <w:r>
              <w:rPr>
                <w:rFonts w:ascii="宋体"/>
                <w:color w:val="auto"/>
                <w:szCs w:val="21"/>
              </w:rPr>
              <w:t>际交付成果日期与合同约定交付日期之差</w:t>
            </w:r>
          </w:p>
          <w:p w14:paraId="11B272D3">
            <w:pPr>
              <w:ind w:firstLine="422"/>
              <w:rPr>
                <w:rFonts w:ascii="宋体"/>
                <w:color w:val="auto"/>
                <w:szCs w:val="21"/>
              </w:rPr>
            </w:pPr>
            <w:r>
              <w:rPr>
                <w:rFonts w:hint="eastAsia" w:ascii="宋体"/>
                <w:b/>
                <w:bCs/>
                <w:color w:val="auto"/>
                <w:szCs w:val="21"/>
              </w:rPr>
              <w:t>【得分上限5分】</w:t>
            </w:r>
          </w:p>
          <w:p w14:paraId="57D72710">
            <w:pPr>
              <w:ind w:firstLine="422"/>
              <w:rPr>
                <w:rFonts w:ascii="宋体"/>
                <w:color w:val="auto"/>
                <w:szCs w:val="21"/>
              </w:rPr>
            </w:pPr>
            <w:r>
              <w:rPr>
                <w:rFonts w:hint="eastAsia" w:ascii="宋体"/>
                <w:b/>
                <w:bCs/>
                <w:color w:val="auto"/>
                <w:szCs w:val="21"/>
              </w:rPr>
              <w:t>无延期：</w:t>
            </w:r>
            <w:r>
              <w:rPr>
                <w:rFonts w:hint="eastAsia" w:ascii="宋体"/>
                <w:color w:val="auto"/>
                <w:szCs w:val="21"/>
              </w:rPr>
              <w:t>指未出现延期，该项指标满分；</w:t>
            </w:r>
          </w:p>
          <w:p w14:paraId="2E5BF5EE">
            <w:pPr>
              <w:ind w:firstLine="422"/>
              <w:rPr>
                <w:rFonts w:ascii="宋体"/>
                <w:color w:val="auto"/>
                <w:szCs w:val="21"/>
              </w:rPr>
            </w:pPr>
            <w:r>
              <w:rPr>
                <w:rFonts w:hint="eastAsia" w:ascii="宋体"/>
                <w:b/>
                <w:bCs/>
                <w:color w:val="auto"/>
                <w:szCs w:val="21"/>
              </w:rPr>
              <w:t>0＜延期≤3个月：</w:t>
            </w:r>
            <w:r>
              <w:rPr>
                <w:rFonts w:hint="eastAsia" w:ascii="宋体"/>
                <w:color w:val="auto"/>
                <w:szCs w:val="21"/>
              </w:rPr>
              <w:t>扣2分，指出现延期3个月</w:t>
            </w:r>
            <w:r>
              <w:rPr>
                <w:rFonts w:ascii="宋体"/>
                <w:color w:val="auto"/>
                <w:szCs w:val="21"/>
              </w:rPr>
              <w:t>（含）</w:t>
            </w:r>
            <w:r>
              <w:rPr>
                <w:rFonts w:hint="eastAsia" w:ascii="宋体"/>
                <w:color w:val="auto"/>
                <w:szCs w:val="21"/>
              </w:rPr>
              <w:t>以内；</w:t>
            </w:r>
          </w:p>
          <w:p w14:paraId="2CACAD42">
            <w:pPr>
              <w:ind w:firstLine="422"/>
              <w:rPr>
                <w:rFonts w:ascii="宋体"/>
                <w:color w:val="auto"/>
                <w:szCs w:val="21"/>
              </w:rPr>
            </w:pPr>
            <w:r>
              <w:rPr>
                <w:rFonts w:hint="eastAsia" w:ascii="宋体"/>
                <w:b/>
                <w:bCs/>
                <w:color w:val="auto"/>
                <w:szCs w:val="21"/>
              </w:rPr>
              <w:t>3＜延期≤6个月：</w:t>
            </w:r>
            <w:r>
              <w:rPr>
                <w:rFonts w:hint="eastAsia" w:ascii="宋体"/>
                <w:color w:val="auto"/>
                <w:szCs w:val="21"/>
              </w:rPr>
              <w:t>扣3分，指出现延期大于3个月且小于等于6个月；</w:t>
            </w:r>
          </w:p>
          <w:p w14:paraId="0B48B878">
            <w:pPr>
              <w:ind w:firstLine="422"/>
              <w:rPr>
                <w:rFonts w:ascii="宋体"/>
                <w:b/>
                <w:bCs/>
                <w:color w:val="auto"/>
                <w:szCs w:val="21"/>
              </w:rPr>
            </w:pPr>
            <w:r>
              <w:rPr>
                <w:rFonts w:hint="eastAsia" w:ascii="宋体"/>
                <w:b/>
                <w:bCs/>
                <w:color w:val="auto"/>
                <w:szCs w:val="21"/>
              </w:rPr>
              <w:t>延期6个月以上：</w:t>
            </w:r>
            <w:r>
              <w:rPr>
                <w:rFonts w:hint="eastAsia" w:ascii="宋体"/>
                <w:color w:val="auto"/>
                <w:szCs w:val="21"/>
              </w:rPr>
              <w:t>扣5分，指出现延期6个月以上。</w:t>
            </w:r>
          </w:p>
        </w:tc>
        <w:tc>
          <w:tcPr>
            <w:tcW w:w="2375" w:type="dxa"/>
            <w:tcBorders>
              <w:left w:val="single" w:color="auto" w:sz="4" w:space="0"/>
            </w:tcBorders>
            <w:vAlign w:val="center"/>
          </w:tcPr>
          <w:p w14:paraId="37C9447F">
            <w:pPr>
              <w:ind w:firstLine="420"/>
              <w:rPr>
                <w:rFonts w:ascii="宋体"/>
                <w:b/>
                <w:bCs/>
                <w:color w:val="auto"/>
                <w:szCs w:val="21"/>
              </w:rPr>
            </w:pPr>
            <w:r>
              <w:rPr>
                <w:rFonts w:hint="eastAsia" w:ascii="宋体"/>
                <w:color w:val="auto"/>
                <w:szCs w:val="21"/>
              </w:rPr>
              <w:t>若延期超过1个月，每延期增加一天扣除合同总金额的0.1%（注：最多扣除不超过合同总金额的10%）。</w:t>
            </w:r>
          </w:p>
        </w:tc>
        <w:tc>
          <w:tcPr>
            <w:tcW w:w="775" w:type="dxa"/>
            <w:tcBorders>
              <w:left w:val="single" w:color="auto" w:sz="4" w:space="0"/>
            </w:tcBorders>
            <w:vAlign w:val="center"/>
          </w:tcPr>
          <w:p w14:paraId="43892D04">
            <w:pPr>
              <w:ind w:firstLine="420"/>
              <w:jc w:val="left"/>
              <w:rPr>
                <w:rFonts w:ascii="宋体"/>
                <w:color w:val="auto"/>
                <w:szCs w:val="21"/>
              </w:rPr>
            </w:pPr>
          </w:p>
        </w:tc>
        <w:tc>
          <w:tcPr>
            <w:tcW w:w="745" w:type="dxa"/>
            <w:tcBorders>
              <w:left w:val="single" w:color="auto" w:sz="4" w:space="0"/>
            </w:tcBorders>
            <w:vAlign w:val="center"/>
          </w:tcPr>
          <w:p w14:paraId="5858B9CB">
            <w:pPr>
              <w:ind w:firstLine="420"/>
              <w:jc w:val="left"/>
              <w:rPr>
                <w:rFonts w:ascii="宋体"/>
                <w:color w:val="auto"/>
                <w:szCs w:val="21"/>
              </w:rPr>
            </w:pPr>
          </w:p>
        </w:tc>
      </w:tr>
      <w:tr w14:paraId="13F8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627FB38">
            <w:pPr>
              <w:pStyle w:val="54"/>
              <w:rPr>
                <w:rFonts w:hint="default"/>
                <w:color w:val="auto"/>
              </w:rPr>
            </w:pPr>
            <w:r>
              <w:rPr>
                <w:color w:val="auto"/>
              </w:rPr>
              <w:t>3</w:t>
            </w:r>
          </w:p>
        </w:tc>
        <w:tc>
          <w:tcPr>
            <w:tcW w:w="782" w:type="dxa"/>
            <w:vMerge w:val="continue"/>
            <w:tcBorders>
              <w:left w:val="single" w:color="auto" w:sz="4" w:space="0"/>
            </w:tcBorders>
          </w:tcPr>
          <w:p w14:paraId="1EFE1CDF">
            <w:pPr>
              <w:pStyle w:val="54"/>
              <w:rPr>
                <w:rFonts w:hint="default"/>
                <w:color w:val="auto"/>
              </w:rPr>
            </w:pPr>
          </w:p>
        </w:tc>
        <w:tc>
          <w:tcPr>
            <w:tcW w:w="725" w:type="dxa"/>
            <w:tcBorders>
              <w:left w:val="single" w:color="auto" w:sz="4" w:space="0"/>
            </w:tcBorders>
            <w:vAlign w:val="center"/>
          </w:tcPr>
          <w:p w14:paraId="67F4557B">
            <w:pPr>
              <w:pStyle w:val="54"/>
              <w:rPr>
                <w:rFonts w:hint="default"/>
                <w:color w:val="auto"/>
              </w:rPr>
            </w:pPr>
            <w:r>
              <w:rPr>
                <w:color w:val="auto"/>
              </w:rPr>
              <w:t>产品缺陷密度</w:t>
            </w:r>
          </w:p>
        </w:tc>
        <w:tc>
          <w:tcPr>
            <w:tcW w:w="3412" w:type="dxa"/>
            <w:tcBorders>
              <w:left w:val="single" w:color="auto" w:sz="4" w:space="0"/>
            </w:tcBorders>
            <w:vAlign w:val="center"/>
          </w:tcPr>
          <w:p w14:paraId="068733C5">
            <w:pPr>
              <w:ind w:firstLine="420"/>
              <w:rPr>
                <w:rFonts w:ascii="宋体"/>
                <w:color w:val="auto"/>
                <w:szCs w:val="21"/>
              </w:rPr>
            </w:pPr>
            <w:r>
              <w:rPr>
                <w:rFonts w:ascii="宋体"/>
                <w:color w:val="auto"/>
                <w:szCs w:val="21"/>
              </w:rPr>
              <w:t>用于记录统计周期内单位功能</w:t>
            </w:r>
            <w:r>
              <w:rPr>
                <w:rFonts w:hint="eastAsia" w:ascii="宋体"/>
                <w:color w:val="auto"/>
                <w:szCs w:val="21"/>
              </w:rPr>
              <w:t>（案例）</w:t>
            </w:r>
            <w:r>
              <w:rPr>
                <w:rFonts w:ascii="宋体"/>
                <w:color w:val="auto"/>
                <w:szCs w:val="21"/>
              </w:rPr>
              <w:t>点发现的缺陷数量</w:t>
            </w:r>
          </w:p>
        </w:tc>
        <w:tc>
          <w:tcPr>
            <w:tcW w:w="4463" w:type="dxa"/>
            <w:tcBorders>
              <w:left w:val="single" w:color="auto" w:sz="4" w:space="0"/>
            </w:tcBorders>
            <w:vAlign w:val="center"/>
          </w:tcPr>
          <w:p w14:paraId="42C6FE37">
            <w:pPr>
              <w:ind w:firstLine="420"/>
              <w:rPr>
                <w:rFonts w:ascii="宋体"/>
                <w:color w:val="auto"/>
                <w:szCs w:val="21"/>
              </w:rPr>
            </w:pPr>
            <w:r>
              <w:rPr>
                <w:rFonts w:hint="eastAsia" w:ascii="宋体"/>
                <w:color w:val="auto"/>
                <w:szCs w:val="21"/>
              </w:rPr>
              <w:t>产</w:t>
            </w:r>
            <w:r>
              <w:rPr>
                <w:rFonts w:ascii="宋体"/>
                <w:color w:val="auto"/>
                <w:szCs w:val="21"/>
              </w:rPr>
              <w:t>品缺陷密度=统计周期内发现的该系统有效缺陷数/统计周期内该系统功能点总数</w:t>
            </w:r>
            <w:r>
              <w:rPr>
                <w:rFonts w:hint="eastAsia" w:ascii="宋体"/>
                <w:color w:val="auto"/>
                <w:szCs w:val="21"/>
              </w:rPr>
              <w:t>（案例数）</w:t>
            </w:r>
          </w:p>
          <w:p w14:paraId="1BF93AC9">
            <w:pPr>
              <w:ind w:firstLine="422"/>
              <w:rPr>
                <w:rFonts w:ascii="宋体"/>
                <w:b/>
                <w:color w:val="auto"/>
                <w:szCs w:val="21"/>
              </w:rPr>
            </w:pPr>
            <w:r>
              <w:rPr>
                <w:rFonts w:hint="eastAsia" w:ascii="宋体"/>
                <w:b/>
                <w:color w:val="auto"/>
                <w:szCs w:val="21"/>
              </w:rPr>
              <w:t>10分【0-5%】</w:t>
            </w:r>
          </w:p>
          <w:p w14:paraId="66D3244B">
            <w:pPr>
              <w:ind w:firstLine="422"/>
              <w:rPr>
                <w:rFonts w:ascii="宋体"/>
                <w:b/>
                <w:color w:val="auto"/>
                <w:szCs w:val="21"/>
              </w:rPr>
            </w:pPr>
            <w:r>
              <w:rPr>
                <w:rFonts w:hint="eastAsia" w:ascii="宋体"/>
                <w:b/>
                <w:color w:val="auto"/>
                <w:szCs w:val="21"/>
              </w:rPr>
              <w:t>5分【5%-20%】</w:t>
            </w:r>
          </w:p>
          <w:p w14:paraId="0A73D002">
            <w:pPr>
              <w:ind w:firstLine="422"/>
              <w:rPr>
                <w:rFonts w:ascii="宋体"/>
                <w:b/>
                <w:color w:val="auto"/>
                <w:szCs w:val="21"/>
              </w:rPr>
            </w:pPr>
            <w:r>
              <w:rPr>
                <w:rFonts w:hint="eastAsia" w:ascii="宋体"/>
                <w:b/>
                <w:color w:val="auto"/>
                <w:szCs w:val="21"/>
              </w:rPr>
              <w:t>0分【超过20%】</w:t>
            </w:r>
          </w:p>
        </w:tc>
        <w:tc>
          <w:tcPr>
            <w:tcW w:w="2375" w:type="dxa"/>
            <w:tcBorders>
              <w:left w:val="single" w:color="auto" w:sz="4" w:space="0"/>
            </w:tcBorders>
            <w:vAlign w:val="center"/>
          </w:tcPr>
          <w:p w14:paraId="3ACEAA5A">
            <w:pPr>
              <w:ind w:firstLine="420"/>
              <w:rPr>
                <w:rFonts w:ascii="宋体"/>
                <w:color w:val="auto"/>
                <w:szCs w:val="21"/>
              </w:rPr>
            </w:pPr>
            <w:r>
              <w:rPr>
                <w:rFonts w:hint="eastAsia" w:ascii="宋体"/>
                <w:color w:val="auto"/>
                <w:szCs w:val="21"/>
              </w:rPr>
              <w:t>产</w:t>
            </w:r>
            <w:r>
              <w:rPr>
                <w:rFonts w:ascii="宋体"/>
                <w:color w:val="auto"/>
                <w:szCs w:val="21"/>
              </w:rPr>
              <w:t>品缺</w:t>
            </w:r>
            <w:r>
              <w:rPr>
                <w:rFonts w:hint="eastAsia" w:ascii="宋体"/>
                <w:color w:val="auto"/>
                <w:szCs w:val="21"/>
              </w:rPr>
              <w:t>陷</w:t>
            </w:r>
            <w:r>
              <w:rPr>
                <w:rFonts w:ascii="宋体"/>
                <w:color w:val="auto"/>
                <w:szCs w:val="21"/>
              </w:rPr>
              <w:t>密度</w:t>
            </w:r>
            <w:r>
              <w:rPr>
                <w:rFonts w:hint="eastAsia" w:ascii="宋体"/>
                <w:color w:val="auto"/>
                <w:szCs w:val="21"/>
              </w:rPr>
              <w:t>超过20%，缺陷密度每增加1%扣除合同总金额的0.1%。</w:t>
            </w:r>
          </w:p>
        </w:tc>
        <w:tc>
          <w:tcPr>
            <w:tcW w:w="775" w:type="dxa"/>
            <w:tcBorders>
              <w:left w:val="single" w:color="auto" w:sz="4" w:space="0"/>
            </w:tcBorders>
            <w:vAlign w:val="center"/>
          </w:tcPr>
          <w:p w14:paraId="47E8C427">
            <w:pPr>
              <w:ind w:firstLine="420"/>
              <w:jc w:val="left"/>
              <w:rPr>
                <w:rFonts w:ascii="宋体"/>
                <w:color w:val="auto"/>
                <w:szCs w:val="21"/>
              </w:rPr>
            </w:pPr>
          </w:p>
        </w:tc>
        <w:tc>
          <w:tcPr>
            <w:tcW w:w="745" w:type="dxa"/>
            <w:tcBorders>
              <w:left w:val="single" w:color="auto" w:sz="4" w:space="0"/>
            </w:tcBorders>
            <w:vAlign w:val="center"/>
          </w:tcPr>
          <w:p w14:paraId="2FCB5A14">
            <w:pPr>
              <w:ind w:firstLine="420"/>
              <w:jc w:val="left"/>
              <w:rPr>
                <w:rFonts w:ascii="宋体"/>
                <w:color w:val="auto"/>
                <w:szCs w:val="21"/>
              </w:rPr>
            </w:pPr>
          </w:p>
        </w:tc>
      </w:tr>
      <w:tr w14:paraId="2CF1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0C82BC5">
            <w:pPr>
              <w:pStyle w:val="54"/>
              <w:rPr>
                <w:rFonts w:hint="default"/>
                <w:color w:val="auto"/>
              </w:rPr>
            </w:pPr>
            <w:r>
              <w:rPr>
                <w:color w:val="auto"/>
              </w:rPr>
              <w:t>4</w:t>
            </w:r>
          </w:p>
        </w:tc>
        <w:tc>
          <w:tcPr>
            <w:tcW w:w="782" w:type="dxa"/>
            <w:vMerge w:val="continue"/>
            <w:tcBorders>
              <w:left w:val="single" w:color="auto" w:sz="4" w:space="0"/>
            </w:tcBorders>
          </w:tcPr>
          <w:p w14:paraId="5FC43713">
            <w:pPr>
              <w:pStyle w:val="54"/>
              <w:rPr>
                <w:rFonts w:hint="default"/>
                <w:color w:val="auto"/>
              </w:rPr>
            </w:pPr>
          </w:p>
        </w:tc>
        <w:tc>
          <w:tcPr>
            <w:tcW w:w="725" w:type="dxa"/>
            <w:tcBorders>
              <w:left w:val="single" w:color="auto" w:sz="4" w:space="0"/>
            </w:tcBorders>
            <w:vAlign w:val="center"/>
          </w:tcPr>
          <w:p w14:paraId="7AE7B05C">
            <w:pPr>
              <w:pStyle w:val="54"/>
              <w:rPr>
                <w:rFonts w:hint="default"/>
                <w:color w:val="auto"/>
              </w:rPr>
            </w:pPr>
            <w:r>
              <w:rPr>
                <w:color w:val="auto"/>
              </w:rPr>
              <w:t>缺陷解决率</w:t>
            </w:r>
          </w:p>
        </w:tc>
        <w:tc>
          <w:tcPr>
            <w:tcW w:w="3412" w:type="dxa"/>
            <w:tcBorders>
              <w:left w:val="single" w:color="auto" w:sz="4" w:space="0"/>
            </w:tcBorders>
            <w:vAlign w:val="center"/>
          </w:tcPr>
          <w:p w14:paraId="00D0E0A3">
            <w:pPr>
              <w:ind w:firstLine="420"/>
              <w:rPr>
                <w:rFonts w:ascii="宋体"/>
                <w:color w:val="auto"/>
                <w:szCs w:val="21"/>
              </w:rPr>
            </w:pPr>
            <w:r>
              <w:rPr>
                <w:rFonts w:ascii="宋体"/>
                <w:color w:val="auto"/>
                <w:szCs w:val="21"/>
              </w:rPr>
              <w:t>用于记录统计周期内测试发现的缺陷中已解决缺陷的比例</w:t>
            </w:r>
          </w:p>
        </w:tc>
        <w:tc>
          <w:tcPr>
            <w:tcW w:w="4463" w:type="dxa"/>
            <w:tcBorders>
              <w:left w:val="single" w:color="auto" w:sz="4" w:space="0"/>
            </w:tcBorders>
            <w:vAlign w:val="center"/>
          </w:tcPr>
          <w:p w14:paraId="760B2DE8">
            <w:pPr>
              <w:ind w:firstLine="420"/>
              <w:rPr>
                <w:rFonts w:ascii="宋体"/>
                <w:color w:val="auto"/>
                <w:szCs w:val="21"/>
              </w:rPr>
            </w:pPr>
            <w:r>
              <w:rPr>
                <w:rFonts w:ascii="宋体"/>
                <w:color w:val="auto"/>
                <w:szCs w:val="21"/>
              </w:rPr>
              <w:t>缺陷解决率=统计周期内测试发现的有效缺陷中已解决的数量/统计周期内测试发现的有效缺陷总数量</w:t>
            </w:r>
          </w:p>
          <w:p w14:paraId="780B1AE1">
            <w:pPr>
              <w:ind w:firstLine="422"/>
              <w:rPr>
                <w:rFonts w:ascii="宋体"/>
                <w:b/>
                <w:color w:val="auto"/>
                <w:szCs w:val="21"/>
              </w:rPr>
            </w:pPr>
            <w:r>
              <w:rPr>
                <w:rFonts w:hint="eastAsia" w:ascii="宋体"/>
                <w:b/>
                <w:color w:val="auto"/>
                <w:szCs w:val="21"/>
              </w:rPr>
              <w:t>10分【98%-100%】</w:t>
            </w:r>
          </w:p>
          <w:p w14:paraId="2EE509C5">
            <w:pPr>
              <w:ind w:firstLine="422"/>
              <w:rPr>
                <w:rFonts w:ascii="宋体"/>
                <w:b/>
                <w:color w:val="auto"/>
                <w:szCs w:val="21"/>
              </w:rPr>
            </w:pPr>
            <w:r>
              <w:rPr>
                <w:rFonts w:hint="eastAsia" w:ascii="宋体"/>
                <w:b/>
                <w:color w:val="auto"/>
                <w:szCs w:val="21"/>
              </w:rPr>
              <w:t>5分【95%-97%】</w:t>
            </w:r>
          </w:p>
          <w:p w14:paraId="083C9C85">
            <w:pPr>
              <w:ind w:firstLine="422"/>
              <w:rPr>
                <w:rFonts w:ascii="宋体"/>
                <w:b/>
                <w:color w:val="auto"/>
                <w:szCs w:val="21"/>
              </w:rPr>
            </w:pPr>
            <w:r>
              <w:rPr>
                <w:rFonts w:hint="eastAsia" w:ascii="宋体"/>
                <w:b/>
                <w:color w:val="auto"/>
                <w:szCs w:val="21"/>
              </w:rPr>
              <w:t>0分【低于95%】</w:t>
            </w:r>
          </w:p>
        </w:tc>
        <w:tc>
          <w:tcPr>
            <w:tcW w:w="2375" w:type="dxa"/>
            <w:tcBorders>
              <w:left w:val="single" w:color="auto" w:sz="4" w:space="0"/>
            </w:tcBorders>
            <w:vAlign w:val="center"/>
          </w:tcPr>
          <w:p w14:paraId="73EE556E">
            <w:pPr>
              <w:ind w:firstLine="420"/>
              <w:rPr>
                <w:rFonts w:ascii="宋体"/>
                <w:color w:val="auto"/>
                <w:szCs w:val="21"/>
              </w:rPr>
            </w:pPr>
            <w:r>
              <w:rPr>
                <w:rFonts w:hint="eastAsia" w:ascii="宋体"/>
                <w:color w:val="auto"/>
                <w:szCs w:val="21"/>
              </w:rPr>
              <w:t>若</w:t>
            </w:r>
            <w:r>
              <w:rPr>
                <w:rFonts w:ascii="宋体"/>
                <w:color w:val="auto"/>
                <w:szCs w:val="21"/>
              </w:rPr>
              <w:t>缺陷解决率</w:t>
            </w:r>
            <w:r>
              <w:rPr>
                <w:rFonts w:hint="eastAsia" w:ascii="宋体"/>
                <w:bCs/>
                <w:color w:val="auto"/>
                <w:szCs w:val="21"/>
              </w:rPr>
              <w:t>低于95</w:t>
            </w:r>
            <w:r>
              <w:rPr>
                <w:rFonts w:hint="eastAsia" w:ascii="宋体"/>
                <w:color w:val="auto"/>
                <w:szCs w:val="21"/>
              </w:rPr>
              <w:t>%，</w:t>
            </w:r>
            <w:r>
              <w:rPr>
                <w:rFonts w:ascii="宋体"/>
                <w:color w:val="auto"/>
                <w:szCs w:val="21"/>
              </w:rPr>
              <w:t>缺陷</w:t>
            </w:r>
            <w:r>
              <w:rPr>
                <w:rFonts w:hint="eastAsia" w:ascii="宋体"/>
                <w:color w:val="auto"/>
                <w:szCs w:val="21"/>
              </w:rPr>
              <w:t>解决率每低1%扣除合同总金额的0.1%。</w:t>
            </w:r>
          </w:p>
        </w:tc>
        <w:tc>
          <w:tcPr>
            <w:tcW w:w="775" w:type="dxa"/>
            <w:tcBorders>
              <w:left w:val="single" w:color="auto" w:sz="4" w:space="0"/>
            </w:tcBorders>
            <w:vAlign w:val="center"/>
          </w:tcPr>
          <w:p w14:paraId="52F6403F">
            <w:pPr>
              <w:ind w:firstLine="420"/>
              <w:jc w:val="left"/>
              <w:rPr>
                <w:rFonts w:ascii="宋体"/>
                <w:color w:val="auto"/>
                <w:szCs w:val="21"/>
              </w:rPr>
            </w:pPr>
          </w:p>
        </w:tc>
        <w:tc>
          <w:tcPr>
            <w:tcW w:w="745" w:type="dxa"/>
            <w:tcBorders>
              <w:left w:val="single" w:color="auto" w:sz="4" w:space="0"/>
            </w:tcBorders>
            <w:vAlign w:val="center"/>
          </w:tcPr>
          <w:p w14:paraId="3DCB500A">
            <w:pPr>
              <w:ind w:firstLine="420"/>
              <w:jc w:val="left"/>
              <w:rPr>
                <w:rFonts w:ascii="宋体"/>
                <w:color w:val="auto"/>
                <w:szCs w:val="21"/>
              </w:rPr>
            </w:pPr>
          </w:p>
        </w:tc>
      </w:tr>
      <w:tr w14:paraId="7638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322064C">
            <w:pPr>
              <w:pStyle w:val="54"/>
              <w:rPr>
                <w:rFonts w:hint="default"/>
                <w:color w:val="auto"/>
              </w:rPr>
            </w:pPr>
            <w:r>
              <w:rPr>
                <w:color w:val="auto"/>
              </w:rPr>
              <w:t>5</w:t>
            </w:r>
          </w:p>
        </w:tc>
        <w:tc>
          <w:tcPr>
            <w:tcW w:w="782" w:type="dxa"/>
            <w:vMerge w:val="restart"/>
            <w:tcBorders>
              <w:left w:val="single" w:color="auto" w:sz="4" w:space="0"/>
            </w:tcBorders>
            <w:vAlign w:val="center"/>
          </w:tcPr>
          <w:p w14:paraId="75BCA6BD">
            <w:pPr>
              <w:pStyle w:val="54"/>
              <w:rPr>
                <w:rFonts w:hint="default"/>
                <w:color w:val="auto"/>
              </w:rPr>
            </w:pPr>
            <w:r>
              <w:rPr>
                <w:color w:val="auto"/>
              </w:rPr>
              <w:t>协议履行</w:t>
            </w:r>
          </w:p>
        </w:tc>
        <w:tc>
          <w:tcPr>
            <w:tcW w:w="725" w:type="dxa"/>
            <w:tcBorders>
              <w:left w:val="single" w:color="auto" w:sz="4" w:space="0"/>
            </w:tcBorders>
            <w:vAlign w:val="center"/>
          </w:tcPr>
          <w:p w14:paraId="1BBED8FA">
            <w:pPr>
              <w:pStyle w:val="54"/>
              <w:rPr>
                <w:rFonts w:hint="default"/>
                <w:color w:val="auto"/>
              </w:rPr>
            </w:pPr>
            <w:r>
              <w:rPr>
                <w:color w:val="auto"/>
              </w:rPr>
              <w:t>重大事项报告</w:t>
            </w:r>
          </w:p>
        </w:tc>
        <w:tc>
          <w:tcPr>
            <w:tcW w:w="3412" w:type="dxa"/>
            <w:tcBorders>
              <w:left w:val="single" w:color="auto" w:sz="4" w:space="0"/>
            </w:tcBorders>
            <w:vAlign w:val="center"/>
          </w:tcPr>
          <w:p w14:paraId="2D487BAB">
            <w:pPr>
              <w:ind w:firstLine="420"/>
              <w:rPr>
                <w:rFonts w:ascii="宋体"/>
                <w:color w:val="auto"/>
                <w:szCs w:val="21"/>
              </w:rPr>
            </w:pPr>
            <w:r>
              <w:rPr>
                <w:rFonts w:hint="eastAsia" w:ascii="宋体"/>
                <w:color w:val="auto"/>
                <w:szCs w:val="21"/>
              </w:rPr>
              <w:t>用于记录乙方应对自身的财务、内控及安全管理进行持续监控，将自身因破产、兼并、关键人员流失、投入不足和管理不善等引发的财务状况恶化及内部管理混乱等情况告知甲方的评价</w:t>
            </w:r>
          </w:p>
        </w:tc>
        <w:tc>
          <w:tcPr>
            <w:tcW w:w="4463" w:type="dxa"/>
            <w:tcBorders>
              <w:left w:val="single" w:color="auto" w:sz="4" w:space="0"/>
            </w:tcBorders>
            <w:vAlign w:val="center"/>
          </w:tcPr>
          <w:p w14:paraId="7328CD19">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指无重大事项或当发生重大事项时，能够于24小时内</w:t>
            </w:r>
            <w:r>
              <w:rPr>
                <w:rFonts w:hint="eastAsia" w:ascii="宋体"/>
                <w:color w:val="auto"/>
                <w:szCs w:val="21"/>
              </w:rPr>
              <w:t>告知甲方；</w:t>
            </w:r>
          </w:p>
          <w:p w14:paraId="56243643">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指当发生重大事项时，能够于一周内告知</w:t>
            </w:r>
            <w:r>
              <w:rPr>
                <w:rFonts w:hint="eastAsia" w:ascii="宋体"/>
                <w:color w:val="auto"/>
                <w:szCs w:val="21"/>
              </w:rPr>
              <w:t>甲方；</w:t>
            </w:r>
          </w:p>
          <w:p w14:paraId="145C60B2">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指当发生重大事项时，能够于一</w:t>
            </w:r>
            <w:r>
              <w:rPr>
                <w:rFonts w:hint="eastAsia" w:ascii="宋体"/>
                <w:color w:val="auto"/>
                <w:szCs w:val="21"/>
              </w:rPr>
              <w:t>月</w:t>
            </w:r>
            <w:r>
              <w:rPr>
                <w:rFonts w:ascii="宋体"/>
                <w:color w:val="auto"/>
                <w:szCs w:val="21"/>
              </w:rPr>
              <w:t>内告知</w:t>
            </w:r>
            <w:r>
              <w:rPr>
                <w:rFonts w:hint="eastAsia" w:ascii="宋体"/>
                <w:color w:val="auto"/>
                <w:szCs w:val="21"/>
              </w:rPr>
              <w:t>甲方；</w:t>
            </w:r>
          </w:p>
          <w:p w14:paraId="2666BBE5">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指当发生重大事项时，</w:t>
            </w:r>
            <w:r>
              <w:rPr>
                <w:rFonts w:hint="eastAsia" w:ascii="宋体"/>
                <w:color w:val="auto"/>
                <w:szCs w:val="21"/>
              </w:rPr>
              <w:t>未</w:t>
            </w:r>
            <w:r>
              <w:rPr>
                <w:rFonts w:ascii="宋体"/>
                <w:color w:val="auto"/>
                <w:szCs w:val="21"/>
              </w:rPr>
              <w:t>告知</w:t>
            </w:r>
            <w:r>
              <w:rPr>
                <w:rFonts w:hint="eastAsia" w:ascii="宋体"/>
                <w:color w:val="auto"/>
                <w:szCs w:val="21"/>
              </w:rPr>
              <w:t>甲方。</w:t>
            </w:r>
          </w:p>
        </w:tc>
        <w:tc>
          <w:tcPr>
            <w:tcW w:w="2375" w:type="dxa"/>
            <w:tcBorders>
              <w:left w:val="single" w:color="auto" w:sz="4" w:space="0"/>
            </w:tcBorders>
            <w:vAlign w:val="center"/>
          </w:tcPr>
          <w:p w14:paraId="3DC84E85">
            <w:pPr>
              <w:ind w:firstLine="420"/>
              <w:rPr>
                <w:rFonts w:ascii="宋体"/>
                <w:color w:val="auto"/>
                <w:szCs w:val="21"/>
              </w:rPr>
            </w:pPr>
            <w:r>
              <w:rPr>
                <w:rFonts w:hint="eastAsia" w:ascii="宋体"/>
                <w:color w:val="auto"/>
                <w:szCs w:val="21"/>
              </w:rPr>
              <w:t>评价为较差/差时，甲方根据实际情况有权终止合同，并要求乙方赔偿实际损失。</w:t>
            </w:r>
          </w:p>
        </w:tc>
        <w:tc>
          <w:tcPr>
            <w:tcW w:w="775" w:type="dxa"/>
            <w:tcBorders>
              <w:left w:val="single" w:color="auto" w:sz="4" w:space="0"/>
            </w:tcBorders>
            <w:vAlign w:val="center"/>
          </w:tcPr>
          <w:p w14:paraId="662F6AA2">
            <w:pPr>
              <w:ind w:firstLine="420"/>
              <w:jc w:val="left"/>
              <w:rPr>
                <w:rFonts w:ascii="宋体"/>
                <w:color w:val="auto"/>
                <w:szCs w:val="21"/>
              </w:rPr>
            </w:pPr>
          </w:p>
        </w:tc>
        <w:tc>
          <w:tcPr>
            <w:tcW w:w="745" w:type="dxa"/>
            <w:tcBorders>
              <w:left w:val="single" w:color="auto" w:sz="4" w:space="0"/>
            </w:tcBorders>
            <w:vAlign w:val="center"/>
          </w:tcPr>
          <w:p w14:paraId="55693F2E">
            <w:pPr>
              <w:ind w:firstLine="420"/>
              <w:jc w:val="left"/>
              <w:rPr>
                <w:rFonts w:ascii="宋体"/>
                <w:color w:val="auto"/>
                <w:szCs w:val="21"/>
              </w:rPr>
            </w:pPr>
          </w:p>
        </w:tc>
      </w:tr>
      <w:tr w14:paraId="2FD3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7471F35">
            <w:pPr>
              <w:pStyle w:val="54"/>
              <w:rPr>
                <w:rFonts w:hint="default"/>
                <w:color w:val="auto"/>
              </w:rPr>
            </w:pPr>
            <w:r>
              <w:rPr>
                <w:color w:val="auto"/>
              </w:rPr>
              <w:t>6</w:t>
            </w:r>
          </w:p>
        </w:tc>
        <w:tc>
          <w:tcPr>
            <w:tcW w:w="782" w:type="dxa"/>
            <w:vMerge w:val="continue"/>
            <w:tcBorders>
              <w:left w:val="single" w:color="auto" w:sz="4" w:space="0"/>
            </w:tcBorders>
          </w:tcPr>
          <w:p w14:paraId="1BE1DDC1">
            <w:pPr>
              <w:pStyle w:val="54"/>
              <w:rPr>
                <w:rFonts w:hint="default"/>
                <w:color w:val="auto"/>
              </w:rPr>
            </w:pPr>
          </w:p>
        </w:tc>
        <w:tc>
          <w:tcPr>
            <w:tcW w:w="725" w:type="dxa"/>
            <w:tcBorders>
              <w:left w:val="single" w:color="auto" w:sz="4" w:space="0"/>
            </w:tcBorders>
            <w:vAlign w:val="center"/>
          </w:tcPr>
          <w:p w14:paraId="071A61A2">
            <w:pPr>
              <w:pStyle w:val="54"/>
              <w:rPr>
                <w:rFonts w:hint="default"/>
                <w:color w:val="auto"/>
              </w:rPr>
            </w:pPr>
            <w:r>
              <w:rPr>
                <w:color w:val="auto"/>
              </w:rPr>
              <w:t>重大事件及质量缺陷</w:t>
            </w:r>
          </w:p>
        </w:tc>
        <w:tc>
          <w:tcPr>
            <w:tcW w:w="3412" w:type="dxa"/>
            <w:tcBorders>
              <w:left w:val="single" w:color="auto" w:sz="4" w:space="0"/>
            </w:tcBorders>
            <w:vAlign w:val="center"/>
          </w:tcPr>
          <w:p w14:paraId="6F5B382C">
            <w:pPr>
              <w:ind w:firstLine="420"/>
              <w:rPr>
                <w:rFonts w:ascii="宋体"/>
                <w:color w:val="auto"/>
                <w:szCs w:val="21"/>
              </w:rPr>
            </w:pPr>
            <w:r>
              <w:rPr>
                <w:rFonts w:hint="eastAsia" w:ascii="宋体"/>
                <w:color w:val="auto"/>
                <w:szCs w:val="21"/>
              </w:rPr>
              <w:t>用</w:t>
            </w:r>
            <w:r>
              <w:rPr>
                <w:rFonts w:ascii="宋体"/>
                <w:color w:val="auto"/>
                <w:szCs w:val="21"/>
              </w:rPr>
              <w:t>于记录</w:t>
            </w:r>
            <w:r>
              <w:rPr>
                <w:rFonts w:hint="eastAsia" w:ascii="宋体"/>
                <w:color w:val="auto"/>
                <w:szCs w:val="21"/>
              </w:rPr>
              <w:t>乙方在服务</w:t>
            </w:r>
            <w:r>
              <w:rPr>
                <w:rFonts w:ascii="宋体"/>
                <w:color w:val="auto"/>
                <w:szCs w:val="21"/>
              </w:rPr>
              <w:t>期内出现</w:t>
            </w:r>
            <w:r>
              <w:rPr>
                <w:rFonts w:hint="eastAsia" w:ascii="宋体"/>
                <w:color w:val="auto"/>
                <w:szCs w:val="21"/>
              </w:rPr>
              <w:t>以下重大事件及质量缺陷次数：</w:t>
            </w:r>
          </w:p>
          <w:p w14:paraId="447D3EB3">
            <w:pPr>
              <w:ind w:firstLine="420"/>
              <w:rPr>
                <w:rFonts w:ascii="宋体"/>
                <w:color w:val="auto"/>
                <w:szCs w:val="21"/>
              </w:rPr>
            </w:pPr>
            <w:r>
              <w:rPr>
                <w:rFonts w:hint="eastAsia" w:ascii="宋体"/>
                <w:color w:val="auto"/>
                <w:szCs w:val="21"/>
              </w:rPr>
              <w:t>a.应用软件出现I</w:t>
            </w:r>
            <w:r>
              <w:rPr>
                <w:rFonts w:ascii="宋体"/>
                <w:color w:val="auto"/>
                <w:szCs w:val="21"/>
              </w:rPr>
              <w:t>II</w:t>
            </w:r>
            <w:r>
              <w:rPr>
                <w:rFonts w:hint="eastAsia" w:ascii="宋体"/>
                <w:color w:val="auto"/>
                <w:szCs w:val="21"/>
              </w:rPr>
              <w:t>级（含）以上的运营中断事件；</w:t>
            </w:r>
          </w:p>
          <w:p w14:paraId="2A1CD990">
            <w:pPr>
              <w:ind w:firstLine="420"/>
              <w:rPr>
                <w:rFonts w:ascii="宋体"/>
                <w:color w:val="auto"/>
                <w:szCs w:val="21"/>
              </w:rPr>
            </w:pPr>
            <w:r>
              <w:rPr>
                <w:rFonts w:hint="eastAsia" w:ascii="宋体"/>
                <w:color w:val="auto"/>
                <w:szCs w:val="21"/>
              </w:rPr>
              <w:t>b.因乙方原因（含乙方合作的第三方）导致甲方发生网络安全事件；</w:t>
            </w:r>
          </w:p>
          <w:p w14:paraId="301CB9F9">
            <w:pPr>
              <w:ind w:firstLine="420"/>
              <w:rPr>
                <w:rFonts w:ascii="宋体"/>
                <w:color w:val="auto"/>
                <w:szCs w:val="21"/>
              </w:rPr>
            </w:pPr>
            <w:r>
              <w:rPr>
                <w:rFonts w:hint="eastAsia" w:ascii="宋体"/>
                <w:color w:val="auto"/>
                <w:szCs w:val="21"/>
              </w:rPr>
              <w:t>c.应用软件出现严重缺陷和致命缺陷。</w:t>
            </w:r>
          </w:p>
        </w:tc>
        <w:tc>
          <w:tcPr>
            <w:tcW w:w="4463" w:type="dxa"/>
            <w:tcBorders>
              <w:left w:val="single" w:color="auto" w:sz="4" w:space="0"/>
            </w:tcBorders>
            <w:vAlign w:val="center"/>
          </w:tcPr>
          <w:p w14:paraId="4E7FB325">
            <w:pPr>
              <w:ind w:firstLine="422"/>
              <w:rPr>
                <w:rFonts w:ascii="宋体"/>
                <w:b/>
                <w:bCs/>
                <w:color w:val="auto"/>
                <w:szCs w:val="21"/>
              </w:rPr>
            </w:pPr>
            <w:r>
              <w:rPr>
                <w:rFonts w:hint="eastAsia" w:ascii="宋体"/>
                <w:b/>
                <w:bCs/>
                <w:color w:val="auto"/>
                <w:szCs w:val="21"/>
              </w:rPr>
              <w:t>【得分上限10分】</w:t>
            </w:r>
          </w:p>
          <w:p w14:paraId="0ADA003C">
            <w:pPr>
              <w:ind w:firstLine="422"/>
              <w:rPr>
                <w:rFonts w:ascii="宋体"/>
                <w:color w:val="auto"/>
                <w:szCs w:val="21"/>
              </w:rPr>
            </w:pPr>
            <w:r>
              <w:rPr>
                <w:rFonts w:hint="eastAsia" w:ascii="宋体"/>
                <w:b/>
                <w:bCs/>
                <w:color w:val="auto"/>
                <w:szCs w:val="21"/>
              </w:rPr>
              <w:t>0次：</w:t>
            </w:r>
            <w:r>
              <w:rPr>
                <w:rFonts w:hint="eastAsia" w:ascii="宋体"/>
                <w:color w:val="auto"/>
                <w:szCs w:val="21"/>
              </w:rPr>
              <w:t>指未出现</w:t>
            </w:r>
            <w:r>
              <w:rPr>
                <w:rFonts w:ascii="宋体"/>
                <w:color w:val="auto"/>
                <w:szCs w:val="21"/>
              </w:rPr>
              <w:t>重大事件</w:t>
            </w:r>
            <w:r>
              <w:rPr>
                <w:rFonts w:hint="eastAsia" w:ascii="宋体"/>
                <w:color w:val="auto"/>
                <w:szCs w:val="21"/>
              </w:rPr>
              <w:t>及质量缺陷，该项指标满分；</w:t>
            </w:r>
          </w:p>
          <w:p w14:paraId="786CD159">
            <w:pPr>
              <w:ind w:firstLine="422"/>
              <w:rPr>
                <w:rFonts w:ascii="宋体"/>
                <w:color w:val="auto"/>
                <w:szCs w:val="21"/>
              </w:rPr>
            </w:pPr>
            <w:r>
              <w:rPr>
                <w:rFonts w:hint="eastAsia" w:ascii="宋体"/>
                <w:b/>
                <w:bCs/>
                <w:color w:val="auto"/>
                <w:szCs w:val="21"/>
              </w:rPr>
              <w:t>1次及以上：</w:t>
            </w:r>
            <w:r>
              <w:rPr>
                <w:rFonts w:hint="eastAsia" w:ascii="宋体"/>
                <w:color w:val="auto"/>
                <w:szCs w:val="21"/>
              </w:rPr>
              <w:t>0分，指出现1次及以上任意一项</w:t>
            </w:r>
            <w:r>
              <w:rPr>
                <w:rFonts w:ascii="宋体"/>
                <w:color w:val="auto"/>
                <w:szCs w:val="21"/>
              </w:rPr>
              <w:t>重大事件</w:t>
            </w:r>
            <w:r>
              <w:rPr>
                <w:rFonts w:hint="eastAsia" w:ascii="宋体"/>
                <w:color w:val="auto"/>
                <w:szCs w:val="21"/>
              </w:rPr>
              <w:t>或质量缺陷。</w:t>
            </w:r>
          </w:p>
        </w:tc>
        <w:tc>
          <w:tcPr>
            <w:tcW w:w="2375" w:type="dxa"/>
            <w:tcBorders>
              <w:left w:val="single" w:color="auto" w:sz="4" w:space="0"/>
            </w:tcBorders>
            <w:vAlign w:val="center"/>
          </w:tcPr>
          <w:p w14:paraId="48AE398B">
            <w:pPr>
              <w:ind w:firstLine="420"/>
              <w:rPr>
                <w:rFonts w:ascii="宋体"/>
                <w:color w:val="auto"/>
                <w:szCs w:val="21"/>
              </w:rPr>
            </w:pPr>
            <w:r>
              <w:rPr>
                <w:rFonts w:hint="eastAsia" w:ascii="宋体"/>
                <w:color w:val="auto"/>
                <w:szCs w:val="21"/>
              </w:rPr>
              <w:t>每出现一次</w:t>
            </w:r>
            <w:r>
              <w:rPr>
                <w:rFonts w:ascii="宋体"/>
                <w:color w:val="auto"/>
                <w:szCs w:val="21"/>
              </w:rPr>
              <w:t>重大事件</w:t>
            </w:r>
            <w:r>
              <w:rPr>
                <w:rFonts w:hint="eastAsia" w:ascii="宋体"/>
                <w:color w:val="auto"/>
                <w:szCs w:val="21"/>
              </w:rPr>
              <w:t>或质量缺陷，扣除乙方合同总金额不低于5%（不低于2万元），并要求乙方赔偿实际损失。</w:t>
            </w:r>
          </w:p>
        </w:tc>
        <w:tc>
          <w:tcPr>
            <w:tcW w:w="775" w:type="dxa"/>
            <w:tcBorders>
              <w:left w:val="single" w:color="auto" w:sz="4" w:space="0"/>
            </w:tcBorders>
            <w:vAlign w:val="center"/>
          </w:tcPr>
          <w:p w14:paraId="7A06E838">
            <w:pPr>
              <w:ind w:firstLine="420"/>
              <w:jc w:val="left"/>
              <w:rPr>
                <w:rFonts w:ascii="宋体"/>
                <w:color w:val="auto"/>
                <w:szCs w:val="21"/>
              </w:rPr>
            </w:pPr>
          </w:p>
        </w:tc>
        <w:tc>
          <w:tcPr>
            <w:tcW w:w="745" w:type="dxa"/>
            <w:tcBorders>
              <w:left w:val="single" w:color="auto" w:sz="4" w:space="0"/>
            </w:tcBorders>
            <w:vAlign w:val="center"/>
          </w:tcPr>
          <w:p w14:paraId="08663189">
            <w:pPr>
              <w:ind w:firstLine="420"/>
              <w:jc w:val="left"/>
              <w:rPr>
                <w:rFonts w:ascii="宋体"/>
                <w:color w:val="auto"/>
                <w:szCs w:val="21"/>
              </w:rPr>
            </w:pPr>
          </w:p>
        </w:tc>
      </w:tr>
      <w:tr w14:paraId="0145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80F5A6A">
            <w:pPr>
              <w:pStyle w:val="54"/>
              <w:rPr>
                <w:rFonts w:hint="default"/>
                <w:color w:val="auto"/>
              </w:rPr>
            </w:pPr>
            <w:r>
              <w:rPr>
                <w:color w:val="auto"/>
              </w:rPr>
              <w:t>7</w:t>
            </w:r>
          </w:p>
        </w:tc>
        <w:tc>
          <w:tcPr>
            <w:tcW w:w="782" w:type="dxa"/>
            <w:vMerge w:val="continue"/>
            <w:tcBorders>
              <w:left w:val="single" w:color="auto" w:sz="4" w:space="0"/>
            </w:tcBorders>
          </w:tcPr>
          <w:p w14:paraId="2FA02C3E">
            <w:pPr>
              <w:pStyle w:val="54"/>
              <w:rPr>
                <w:rFonts w:hint="default"/>
                <w:color w:val="auto"/>
              </w:rPr>
            </w:pPr>
          </w:p>
        </w:tc>
        <w:tc>
          <w:tcPr>
            <w:tcW w:w="725" w:type="dxa"/>
            <w:tcBorders>
              <w:left w:val="single" w:color="auto" w:sz="4" w:space="0"/>
            </w:tcBorders>
            <w:vAlign w:val="center"/>
          </w:tcPr>
          <w:p w14:paraId="2B20472C">
            <w:pPr>
              <w:pStyle w:val="54"/>
              <w:rPr>
                <w:rFonts w:hint="default"/>
                <w:color w:val="auto"/>
              </w:rPr>
            </w:pPr>
            <w:r>
              <w:rPr>
                <w:color w:val="auto"/>
              </w:rPr>
              <w:t>信息安全管理</w:t>
            </w:r>
          </w:p>
        </w:tc>
        <w:tc>
          <w:tcPr>
            <w:tcW w:w="3412" w:type="dxa"/>
            <w:tcBorders>
              <w:left w:val="single" w:color="auto" w:sz="4" w:space="0"/>
            </w:tcBorders>
            <w:vAlign w:val="center"/>
          </w:tcPr>
          <w:p w14:paraId="082C6034">
            <w:pPr>
              <w:ind w:firstLine="420"/>
              <w:rPr>
                <w:rFonts w:ascii="宋体"/>
                <w:color w:val="auto"/>
                <w:szCs w:val="21"/>
              </w:rPr>
            </w:pPr>
            <w:r>
              <w:rPr>
                <w:rFonts w:hint="eastAsia" w:ascii="宋体"/>
                <w:color w:val="auto"/>
                <w:szCs w:val="21"/>
              </w:rPr>
              <w:t>用</w:t>
            </w:r>
            <w:r>
              <w:rPr>
                <w:rFonts w:ascii="宋体"/>
                <w:color w:val="auto"/>
                <w:szCs w:val="21"/>
              </w:rPr>
              <w:t>于记录</w:t>
            </w:r>
            <w:r>
              <w:rPr>
                <w:rFonts w:hint="eastAsia" w:ascii="宋体"/>
                <w:color w:val="auto"/>
                <w:szCs w:val="21"/>
              </w:rPr>
              <w:t>乙方在服务</w:t>
            </w:r>
            <w:r>
              <w:rPr>
                <w:rFonts w:ascii="宋体"/>
                <w:color w:val="auto"/>
                <w:szCs w:val="21"/>
              </w:rPr>
              <w:t>期内</w:t>
            </w:r>
            <w:r>
              <w:rPr>
                <w:rFonts w:hint="eastAsia" w:ascii="宋体"/>
                <w:color w:val="auto"/>
                <w:szCs w:val="21"/>
              </w:rPr>
              <w:t>网络和信息安全服务的管理能力，针对发现的安全漏洞及安全缺陷（包括源代码、第三方SDK或第三方小程序、第三方软件产品及开源组件等），须按甲方要求完成整改</w:t>
            </w:r>
          </w:p>
        </w:tc>
        <w:tc>
          <w:tcPr>
            <w:tcW w:w="4463" w:type="dxa"/>
            <w:tcBorders>
              <w:left w:val="single" w:color="auto" w:sz="4" w:space="0"/>
            </w:tcBorders>
            <w:vAlign w:val="center"/>
          </w:tcPr>
          <w:p w14:paraId="37962D81">
            <w:pPr>
              <w:ind w:firstLine="420"/>
              <w:rPr>
                <w:rFonts w:ascii="宋体"/>
                <w:color w:val="auto"/>
                <w:szCs w:val="21"/>
              </w:rPr>
            </w:pPr>
            <w:r>
              <w:rPr>
                <w:rFonts w:hint="eastAsia" w:ascii="宋体"/>
                <w:color w:val="auto"/>
                <w:szCs w:val="21"/>
              </w:rPr>
              <w:t>互联网或电子银行类系统：</w:t>
            </w:r>
          </w:p>
          <w:p w14:paraId="39C30402">
            <w:pPr>
              <w:ind w:firstLine="420"/>
              <w:rPr>
                <w:rFonts w:ascii="宋体"/>
                <w:color w:val="auto"/>
                <w:szCs w:val="21"/>
              </w:rPr>
            </w:pPr>
            <w:r>
              <w:rPr>
                <w:rFonts w:hint="eastAsia" w:ascii="宋体"/>
                <w:color w:val="auto"/>
                <w:szCs w:val="21"/>
              </w:rPr>
              <w:t>1.安全漏洞及安全缺陷整改及时率=100%</w:t>
            </w:r>
          </w:p>
          <w:p w14:paraId="403DDC14">
            <w:pPr>
              <w:ind w:firstLine="420"/>
              <w:rPr>
                <w:rFonts w:ascii="宋体"/>
                <w:color w:val="auto"/>
                <w:szCs w:val="21"/>
              </w:rPr>
            </w:pPr>
            <w:r>
              <w:rPr>
                <w:rFonts w:hint="eastAsia" w:ascii="宋体"/>
                <w:color w:val="auto"/>
                <w:szCs w:val="21"/>
              </w:rPr>
              <w:t>2.安全漏洞及安全缺陷整改通过率=100%</w:t>
            </w:r>
          </w:p>
          <w:p w14:paraId="696D9FE7">
            <w:pPr>
              <w:ind w:firstLine="420"/>
              <w:rPr>
                <w:rFonts w:ascii="宋体"/>
                <w:color w:val="auto"/>
                <w:szCs w:val="21"/>
              </w:rPr>
            </w:pPr>
            <w:r>
              <w:rPr>
                <w:rFonts w:hint="eastAsia" w:ascii="宋体"/>
                <w:color w:val="auto"/>
                <w:szCs w:val="21"/>
              </w:rPr>
              <w:t>非互联网或电子银行类系统：</w:t>
            </w:r>
          </w:p>
          <w:p w14:paraId="01F64B35">
            <w:pPr>
              <w:ind w:firstLine="420"/>
              <w:rPr>
                <w:rFonts w:ascii="宋体"/>
                <w:color w:val="auto"/>
                <w:szCs w:val="21"/>
              </w:rPr>
            </w:pPr>
            <w:r>
              <w:rPr>
                <w:rFonts w:hint="eastAsia" w:ascii="宋体"/>
                <w:color w:val="auto"/>
                <w:szCs w:val="21"/>
              </w:rPr>
              <w:t>1.中高危安全漏洞及安全缺陷整改及时率=100%</w:t>
            </w:r>
          </w:p>
          <w:p w14:paraId="3CCEC036">
            <w:pPr>
              <w:ind w:firstLine="420"/>
              <w:rPr>
                <w:rFonts w:ascii="宋体"/>
                <w:color w:val="auto"/>
                <w:szCs w:val="21"/>
              </w:rPr>
            </w:pPr>
            <w:r>
              <w:rPr>
                <w:rFonts w:hint="eastAsia" w:ascii="宋体"/>
                <w:color w:val="auto"/>
                <w:szCs w:val="21"/>
              </w:rPr>
              <w:t>2.中高危安全漏洞及安全缺陷整改通过率=100%</w:t>
            </w:r>
          </w:p>
          <w:p w14:paraId="19AFD7DB">
            <w:pPr>
              <w:ind w:firstLine="422"/>
              <w:rPr>
                <w:rFonts w:ascii="宋体"/>
                <w:color w:val="auto"/>
                <w:szCs w:val="21"/>
              </w:rPr>
            </w:pPr>
            <w:r>
              <w:rPr>
                <w:rFonts w:hint="eastAsia" w:ascii="宋体"/>
                <w:b/>
                <w:bCs/>
                <w:color w:val="auto"/>
                <w:szCs w:val="21"/>
              </w:rPr>
              <w:t>优秀：</w:t>
            </w:r>
            <w:r>
              <w:rPr>
                <w:rFonts w:hint="eastAsia" w:ascii="宋体"/>
                <w:color w:val="auto"/>
                <w:szCs w:val="21"/>
              </w:rPr>
              <w:t>5分，指未出现安全漏洞及安全缺陷，该项指标满分；</w:t>
            </w:r>
          </w:p>
          <w:p w14:paraId="2652B83A">
            <w:pPr>
              <w:ind w:firstLine="422"/>
              <w:rPr>
                <w:rFonts w:ascii="宋体"/>
                <w:color w:val="auto"/>
                <w:szCs w:val="21"/>
              </w:rPr>
            </w:pPr>
            <w:r>
              <w:rPr>
                <w:rFonts w:hint="eastAsia" w:ascii="宋体"/>
                <w:b/>
                <w:bCs/>
                <w:color w:val="auto"/>
                <w:szCs w:val="21"/>
              </w:rPr>
              <w:t>合格：</w:t>
            </w:r>
            <w:r>
              <w:rPr>
                <w:rFonts w:hint="eastAsia" w:ascii="宋体"/>
                <w:color w:val="auto"/>
                <w:szCs w:val="21"/>
              </w:rPr>
              <w:t>3分，指出现安全漏洞或安全缺陷，但整改及时率、通过率均为100%；</w:t>
            </w:r>
          </w:p>
          <w:p w14:paraId="3169FA40">
            <w:pPr>
              <w:ind w:firstLine="422"/>
              <w:rPr>
                <w:rFonts w:ascii="宋体"/>
                <w:color w:val="auto"/>
                <w:szCs w:val="21"/>
              </w:rPr>
            </w:pPr>
            <w:r>
              <w:rPr>
                <w:rFonts w:hint="eastAsia" w:ascii="宋体"/>
                <w:b/>
                <w:bCs/>
                <w:color w:val="auto"/>
                <w:szCs w:val="21"/>
              </w:rPr>
              <w:t>较差/差：</w:t>
            </w:r>
            <w:r>
              <w:rPr>
                <w:rFonts w:hint="eastAsia" w:ascii="宋体"/>
                <w:color w:val="auto"/>
                <w:szCs w:val="21"/>
              </w:rPr>
              <w:t>0分，指出现安全漏洞及安全缺陷，但整改及时率或通过率未达到100%。</w:t>
            </w:r>
          </w:p>
        </w:tc>
        <w:tc>
          <w:tcPr>
            <w:tcW w:w="2375" w:type="dxa"/>
            <w:tcBorders>
              <w:left w:val="single" w:color="auto" w:sz="4" w:space="0"/>
            </w:tcBorders>
            <w:vAlign w:val="center"/>
          </w:tcPr>
          <w:p w14:paraId="5146270B">
            <w:pPr>
              <w:ind w:firstLine="420"/>
              <w:rPr>
                <w:rFonts w:ascii="宋体"/>
                <w:color w:val="auto"/>
                <w:szCs w:val="21"/>
              </w:rPr>
            </w:pPr>
            <w:r>
              <w:rPr>
                <w:rFonts w:hint="eastAsia" w:ascii="宋体"/>
                <w:color w:val="auto"/>
                <w:szCs w:val="21"/>
              </w:rPr>
              <w:t>若评价为较差/差时，扣除乙方金额人民币不低于2万元，并要求乙方赔偿实际损失。</w:t>
            </w:r>
          </w:p>
          <w:p w14:paraId="1F5A77CE">
            <w:pPr>
              <w:ind w:firstLine="420"/>
              <w:rPr>
                <w:rFonts w:ascii="宋体"/>
                <w:color w:val="auto"/>
                <w:szCs w:val="21"/>
              </w:rPr>
            </w:pPr>
            <w:r>
              <w:rPr>
                <w:rFonts w:hint="eastAsia" w:ascii="宋体"/>
                <w:color w:val="auto"/>
                <w:szCs w:val="21"/>
              </w:rPr>
              <w:t>若出现的安全漏洞或安全缺陷被上级或监管单位通报的，扣除乙方合同总金额不低于5%（不低于2万元），并要求乙方赔偿实际损失。</w:t>
            </w:r>
          </w:p>
        </w:tc>
        <w:tc>
          <w:tcPr>
            <w:tcW w:w="775" w:type="dxa"/>
            <w:tcBorders>
              <w:left w:val="single" w:color="auto" w:sz="4" w:space="0"/>
            </w:tcBorders>
            <w:vAlign w:val="center"/>
          </w:tcPr>
          <w:p w14:paraId="553B7047">
            <w:pPr>
              <w:ind w:firstLine="420"/>
              <w:jc w:val="left"/>
              <w:rPr>
                <w:rFonts w:ascii="宋体"/>
                <w:color w:val="auto"/>
                <w:szCs w:val="21"/>
              </w:rPr>
            </w:pPr>
          </w:p>
        </w:tc>
        <w:tc>
          <w:tcPr>
            <w:tcW w:w="745" w:type="dxa"/>
            <w:tcBorders>
              <w:left w:val="single" w:color="auto" w:sz="4" w:space="0"/>
            </w:tcBorders>
            <w:vAlign w:val="center"/>
          </w:tcPr>
          <w:p w14:paraId="09B3CA9E">
            <w:pPr>
              <w:ind w:firstLine="420"/>
              <w:jc w:val="left"/>
              <w:rPr>
                <w:rFonts w:ascii="宋体"/>
                <w:color w:val="auto"/>
                <w:szCs w:val="21"/>
              </w:rPr>
            </w:pPr>
          </w:p>
        </w:tc>
      </w:tr>
      <w:tr w14:paraId="73BC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C1022D0">
            <w:pPr>
              <w:pStyle w:val="54"/>
              <w:rPr>
                <w:rFonts w:hint="default"/>
                <w:color w:val="auto"/>
              </w:rPr>
            </w:pPr>
            <w:r>
              <w:rPr>
                <w:color w:val="auto"/>
              </w:rPr>
              <w:t>8</w:t>
            </w:r>
          </w:p>
        </w:tc>
        <w:tc>
          <w:tcPr>
            <w:tcW w:w="782" w:type="dxa"/>
            <w:vMerge w:val="continue"/>
            <w:tcBorders>
              <w:left w:val="single" w:color="auto" w:sz="4" w:space="0"/>
            </w:tcBorders>
          </w:tcPr>
          <w:p w14:paraId="5738A49B">
            <w:pPr>
              <w:pStyle w:val="54"/>
              <w:rPr>
                <w:rFonts w:hint="default"/>
                <w:color w:val="auto"/>
              </w:rPr>
            </w:pPr>
          </w:p>
        </w:tc>
        <w:tc>
          <w:tcPr>
            <w:tcW w:w="725" w:type="dxa"/>
            <w:tcBorders>
              <w:left w:val="single" w:color="auto" w:sz="4" w:space="0"/>
            </w:tcBorders>
            <w:vAlign w:val="center"/>
          </w:tcPr>
          <w:p w14:paraId="60C17AA6">
            <w:pPr>
              <w:pStyle w:val="54"/>
              <w:rPr>
                <w:rFonts w:hint="default"/>
                <w:color w:val="auto"/>
              </w:rPr>
            </w:pPr>
            <w:r>
              <w:rPr>
                <w:color w:val="auto"/>
              </w:rPr>
              <w:t>外包安全行为</w:t>
            </w:r>
          </w:p>
        </w:tc>
        <w:tc>
          <w:tcPr>
            <w:tcW w:w="3412" w:type="dxa"/>
            <w:tcBorders>
              <w:left w:val="single" w:color="auto" w:sz="4" w:space="0"/>
            </w:tcBorders>
            <w:vAlign w:val="center"/>
          </w:tcPr>
          <w:p w14:paraId="543BFF84">
            <w:pPr>
              <w:ind w:firstLine="420"/>
              <w:rPr>
                <w:rFonts w:ascii="宋体"/>
                <w:color w:val="auto"/>
                <w:szCs w:val="21"/>
              </w:rPr>
            </w:pPr>
            <w:r>
              <w:rPr>
                <w:rFonts w:hint="eastAsia" w:ascii="宋体"/>
                <w:color w:val="auto"/>
                <w:szCs w:val="21"/>
              </w:rPr>
              <w:t>用</w:t>
            </w:r>
            <w:r>
              <w:rPr>
                <w:rFonts w:ascii="宋体"/>
                <w:color w:val="auto"/>
                <w:szCs w:val="21"/>
              </w:rPr>
              <w:t>于记录在外包人员安全防护意识方面的管理有效</w:t>
            </w:r>
            <w:r>
              <w:rPr>
                <w:rFonts w:hint="eastAsia" w:ascii="宋体"/>
                <w:color w:val="auto"/>
                <w:szCs w:val="21"/>
              </w:rPr>
              <w:t>性</w:t>
            </w:r>
          </w:p>
        </w:tc>
        <w:tc>
          <w:tcPr>
            <w:tcW w:w="4463" w:type="dxa"/>
            <w:tcBorders>
              <w:left w:val="single" w:color="auto" w:sz="4" w:space="0"/>
            </w:tcBorders>
            <w:vAlign w:val="center"/>
          </w:tcPr>
          <w:p w14:paraId="290149A1">
            <w:pPr>
              <w:ind w:firstLine="420"/>
              <w:rPr>
                <w:rFonts w:ascii="宋体"/>
                <w:color w:val="auto"/>
                <w:szCs w:val="21"/>
              </w:rPr>
            </w:pPr>
            <w:r>
              <w:rPr>
                <w:rFonts w:ascii="宋体"/>
                <w:color w:val="auto"/>
                <w:szCs w:val="21"/>
              </w:rPr>
              <w:t>统计周期内安全防护失效的次数。</w:t>
            </w:r>
          </w:p>
          <w:p w14:paraId="1F1DAC68">
            <w:pPr>
              <w:ind w:firstLine="420"/>
              <w:rPr>
                <w:rFonts w:ascii="宋体"/>
                <w:color w:val="auto"/>
                <w:szCs w:val="21"/>
              </w:rPr>
            </w:pPr>
            <w:r>
              <w:rPr>
                <w:rFonts w:hint="eastAsia" w:ascii="宋体"/>
                <w:color w:val="auto"/>
                <w:szCs w:val="21"/>
              </w:rPr>
              <w:t>（</w:t>
            </w:r>
            <w:r>
              <w:rPr>
                <w:rFonts w:ascii="宋体"/>
                <w:color w:val="auto"/>
                <w:szCs w:val="21"/>
              </w:rPr>
              <w:t>注：在服务期间出现以下行为，即为安全防护失效：a）代码泄漏、敏感数据泄漏、被钓鱼攻击、共享数据使用弱口令、账户借用。b）在互联网上泄露客户代码和敏感数据。</w:t>
            </w:r>
            <w:r>
              <w:rPr>
                <w:rFonts w:hint="eastAsia" w:ascii="宋体"/>
                <w:color w:val="auto"/>
                <w:szCs w:val="21"/>
              </w:rPr>
              <w:t>c）</w:t>
            </w:r>
            <w:r>
              <w:rPr>
                <w:rFonts w:ascii="宋体"/>
                <w:color w:val="auto"/>
                <w:szCs w:val="21"/>
              </w:rPr>
              <w:t>随意搭建测试环境导致信息泄露或被作为攻击入口</w:t>
            </w:r>
            <w:r>
              <w:rPr>
                <w:rFonts w:hint="eastAsia" w:ascii="宋体"/>
                <w:color w:val="auto"/>
                <w:szCs w:val="21"/>
              </w:rPr>
              <w:t>。d）在生产运营系统上违反规定进行操作或在实施过程中留下信息系统后门等</w:t>
            </w:r>
            <w:r>
              <w:rPr>
                <w:rFonts w:ascii="宋体"/>
                <w:color w:val="auto"/>
                <w:szCs w:val="21"/>
              </w:rPr>
              <w:t>。</w:t>
            </w:r>
          </w:p>
          <w:p w14:paraId="1BA80E12">
            <w:pPr>
              <w:ind w:firstLine="422"/>
              <w:rPr>
                <w:rFonts w:ascii="宋体"/>
                <w:b/>
                <w:bCs/>
                <w:color w:val="auto"/>
                <w:szCs w:val="21"/>
              </w:rPr>
            </w:pPr>
            <w:r>
              <w:rPr>
                <w:rFonts w:hint="eastAsia" w:ascii="宋体"/>
                <w:b/>
                <w:bCs/>
                <w:color w:val="auto"/>
                <w:szCs w:val="21"/>
              </w:rPr>
              <w:t>【得分上限10分】</w:t>
            </w:r>
          </w:p>
          <w:p w14:paraId="34D283AD">
            <w:pPr>
              <w:ind w:firstLine="422"/>
              <w:rPr>
                <w:rFonts w:ascii="宋体"/>
                <w:color w:val="auto"/>
                <w:szCs w:val="21"/>
              </w:rPr>
            </w:pPr>
            <w:r>
              <w:rPr>
                <w:rFonts w:hint="eastAsia" w:ascii="宋体"/>
                <w:b/>
                <w:bCs/>
                <w:color w:val="auto"/>
                <w:szCs w:val="21"/>
              </w:rPr>
              <w:t>0次：</w:t>
            </w:r>
            <w:r>
              <w:rPr>
                <w:rFonts w:hint="eastAsia" w:ascii="宋体"/>
                <w:color w:val="auto"/>
                <w:szCs w:val="21"/>
              </w:rPr>
              <w:t>未出现安全防护失效行为，10分；</w:t>
            </w:r>
          </w:p>
          <w:p w14:paraId="31CFE3F9">
            <w:pPr>
              <w:ind w:firstLine="422"/>
              <w:rPr>
                <w:rFonts w:ascii="宋体"/>
                <w:color w:val="auto"/>
                <w:szCs w:val="21"/>
              </w:rPr>
            </w:pPr>
            <w:r>
              <w:rPr>
                <w:rFonts w:hint="eastAsia" w:ascii="宋体"/>
                <w:b/>
                <w:bCs/>
                <w:color w:val="auto"/>
                <w:szCs w:val="21"/>
              </w:rPr>
              <w:t>1次及以上</w:t>
            </w:r>
            <w:r>
              <w:rPr>
                <w:rFonts w:hint="eastAsia" w:ascii="宋体"/>
                <w:color w:val="auto"/>
                <w:szCs w:val="21"/>
              </w:rPr>
              <w:t>：出现安全防护失效行为，每出现一次扣5分，最多扣10分。</w:t>
            </w:r>
          </w:p>
        </w:tc>
        <w:tc>
          <w:tcPr>
            <w:tcW w:w="2375" w:type="dxa"/>
            <w:tcBorders>
              <w:left w:val="single" w:color="auto" w:sz="4" w:space="0"/>
            </w:tcBorders>
            <w:vAlign w:val="center"/>
          </w:tcPr>
          <w:p w14:paraId="350D82D0">
            <w:pPr>
              <w:ind w:firstLine="420"/>
              <w:rPr>
                <w:rFonts w:ascii="宋体"/>
                <w:color w:val="auto"/>
                <w:szCs w:val="21"/>
              </w:rPr>
            </w:pPr>
            <w:r>
              <w:rPr>
                <w:rFonts w:hint="eastAsia" w:ascii="宋体"/>
                <w:color w:val="auto"/>
                <w:szCs w:val="21"/>
              </w:rPr>
              <w:t>若出现信息安全防护失效行为未导致严重后果的，扣除乙方金额人民币不低于1万元；</w:t>
            </w:r>
          </w:p>
          <w:p w14:paraId="0D850A21">
            <w:pPr>
              <w:ind w:firstLine="420"/>
              <w:rPr>
                <w:rFonts w:ascii="宋体"/>
                <w:color w:val="auto"/>
                <w:szCs w:val="21"/>
              </w:rPr>
            </w:pPr>
            <w:r>
              <w:rPr>
                <w:rFonts w:hint="eastAsia" w:ascii="宋体"/>
                <w:color w:val="auto"/>
                <w:szCs w:val="21"/>
              </w:rPr>
              <w:t>若出现信息安全防护失效行为导致严重后果，或被上级或监管单位通报的，扣除乙方合同总金额不低于5%（不低于2万元），并要求乙方赔偿实际损失。</w:t>
            </w:r>
          </w:p>
        </w:tc>
        <w:tc>
          <w:tcPr>
            <w:tcW w:w="775" w:type="dxa"/>
            <w:tcBorders>
              <w:left w:val="single" w:color="auto" w:sz="4" w:space="0"/>
            </w:tcBorders>
            <w:vAlign w:val="center"/>
          </w:tcPr>
          <w:p w14:paraId="57C3AA2A">
            <w:pPr>
              <w:ind w:firstLine="420"/>
              <w:jc w:val="left"/>
              <w:rPr>
                <w:rFonts w:ascii="宋体"/>
                <w:color w:val="auto"/>
                <w:szCs w:val="21"/>
              </w:rPr>
            </w:pPr>
          </w:p>
        </w:tc>
        <w:tc>
          <w:tcPr>
            <w:tcW w:w="745" w:type="dxa"/>
            <w:tcBorders>
              <w:left w:val="single" w:color="auto" w:sz="4" w:space="0"/>
            </w:tcBorders>
            <w:vAlign w:val="center"/>
          </w:tcPr>
          <w:p w14:paraId="51D1A41C">
            <w:pPr>
              <w:ind w:firstLine="420"/>
              <w:jc w:val="left"/>
              <w:rPr>
                <w:rFonts w:ascii="宋体"/>
                <w:color w:val="auto"/>
                <w:szCs w:val="21"/>
              </w:rPr>
            </w:pPr>
          </w:p>
        </w:tc>
      </w:tr>
      <w:tr w14:paraId="6E22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63DEFAA">
            <w:pPr>
              <w:pStyle w:val="54"/>
              <w:rPr>
                <w:rFonts w:hint="default"/>
                <w:color w:val="auto"/>
              </w:rPr>
            </w:pPr>
            <w:r>
              <w:rPr>
                <w:color w:val="auto"/>
              </w:rPr>
              <w:t>9</w:t>
            </w:r>
          </w:p>
        </w:tc>
        <w:tc>
          <w:tcPr>
            <w:tcW w:w="782" w:type="dxa"/>
            <w:vMerge w:val="continue"/>
            <w:tcBorders>
              <w:left w:val="single" w:color="auto" w:sz="4" w:space="0"/>
            </w:tcBorders>
          </w:tcPr>
          <w:p w14:paraId="51BDB00E">
            <w:pPr>
              <w:pStyle w:val="54"/>
              <w:rPr>
                <w:rFonts w:hint="default"/>
                <w:color w:val="auto"/>
              </w:rPr>
            </w:pPr>
          </w:p>
        </w:tc>
        <w:tc>
          <w:tcPr>
            <w:tcW w:w="725" w:type="dxa"/>
            <w:tcBorders>
              <w:left w:val="single" w:color="auto" w:sz="4" w:space="0"/>
            </w:tcBorders>
            <w:vAlign w:val="center"/>
          </w:tcPr>
          <w:p w14:paraId="5A285F37">
            <w:pPr>
              <w:pStyle w:val="54"/>
              <w:rPr>
                <w:rFonts w:hint="default"/>
                <w:color w:val="auto"/>
              </w:rPr>
            </w:pPr>
            <w:r>
              <w:rPr>
                <w:color w:val="auto"/>
              </w:rPr>
              <w:t>响应与解决及时性</w:t>
            </w:r>
          </w:p>
        </w:tc>
        <w:tc>
          <w:tcPr>
            <w:tcW w:w="3412" w:type="dxa"/>
            <w:tcBorders>
              <w:left w:val="single" w:color="auto" w:sz="4" w:space="0"/>
            </w:tcBorders>
            <w:vAlign w:val="center"/>
          </w:tcPr>
          <w:p w14:paraId="15E922E9">
            <w:pPr>
              <w:ind w:firstLine="420"/>
              <w:rPr>
                <w:rFonts w:ascii="宋体"/>
                <w:color w:val="auto"/>
                <w:szCs w:val="21"/>
              </w:rPr>
            </w:pPr>
            <w:r>
              <w:rPr>
                <w:rFonts w:ascii="宋体"/>
                <w:color w:val="auto"/>
                <w:szCs w:val="21"/>
              </w:rPr>
              <w:t>用于记录</w:t>
            </w:r>
            <w:r>
              <w:rPr>
                <w:rFonts w:hint="eastAsia" w:ascii="宋体"/>
                <w:color w:val="auto"/>
                <w:szCs w:val="21"/>
              </w:rPr>
              <w:t>乙方</w:t>
            </w:r>
            <w:r>
              <w:rPr>
                <w:rFonts w:ascii="宋体"/>
                <w:color w:val="auto"/>
                <w:szCs w:val="21"/>
              </w:rPr>
              <w:t>或服务项目对</w:t>
            </w:r>
            <w:r>
              <w:rPr>
                <w:rFonts w:hint="eastAsia" w:ascii="宋体"/>
                <w:color w:val="auto"/>
                <w:szCs w:val="21"/>
              </w:rPr>
              <w:t>甲方</w:t>
            </w:r>
            <w:r>
              <w:rPr>
                <w:rFonts w:ascii="宋体"/>
                <w:color w:val="auto"/>
                <w:szCs w:val="21"/>
              </w:rPr>
              <w:t>的响应与解决的及时性</w:t>
            </w:r>
          </w:p>
        </w:tc>
        <w:tc>
          <w:tcPr>
            <w:tcW w:w="4463" w:type="dxa"/>
            <w:tcBorders>
              <w:left w:val="single" w:color="auto" w:sz="4" w:space="0"/>
            </w:tcBorders>
            <w:vAlign w:val="center"/>
          </w:tcPr>
          <w:p w14:paraId="298AF018">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乙方</w:t>
            </w:r>
            <w:r>
              <w:rPr>
                <w:rFonts w:ascii="宋体"/>
                <w:color w:val="auto"/>
                <w:szCs w:val="21"/>
              </w:rPr>
              <w:t>或服务项目能够迅速响应需求，主动快速与</w:t>
            </w:r>
            <w:r>
              <w:rPr>
                <w:rFonts w:hint="eastAsia" w:ascii="宋体"/>
                <w:color w:val="auto"/>
                <w:szCs w:val="21"/>
              </w:rPr>
              <w:t>甲方</w:t>
            </w:r>
            <w:r>
              <w:rPr>
                <w:rFonts w:ascii="宋体"/>
                <w:color w:val="auto"/>
                <w:szCs w:val="21"/>
              </w:rPr>
              <w:t>进行有效的沟通，第一时间从专业角度给出解决方案并解决问题</w:t>
            </w:r>
            <w:r>
              <w:rPr>
                <w:rFonts w:hint="eastAsia" w:ascii="宋体"/>
                <w:color w:val="auto"/>
                <w:szCs w:val="21"/>
              </w:rPr>
              <w:t>；</w:t>
            </w:r>
          </w:p>
          <w:p w14:paraId="56D90EBC">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乙方</w:t>
            </w:r>
            <w:r>
              <w:rPr>
                <w:rFonts w:ascii="宋体"/>
                <w:color w:val="auto"/>
                <w:szCs w:val="21"/>
              </w:rPr>
              <w:t>或服务项目能够按要求响应需求，及时与</w:t>
            </w:r>
            <w:r>
              <w:rPr>
                <w:rFonts w:hint="eastAsia" w:ascii="宋体"/>
                <w:color w:val="auto"/>
                <w:szCs w:val="21"/>
              </w:rPr>
              <w:t>甲方</w:t>
            </w:r>
            <w:r>
              <w:rPr>
                <w:rFonts w:ascii="宋体"/>
                <w:color w:val="auto"/>
                <w:szCs w:val="21"/>
              </w:rPr>
              <w:t>进行有效的沟通，快速给出处理方案并解决问题</w:t>
            </w:r>
            <w:r>
              <w:rPr>
                <w:rFonts w:hint="eastAsia" w:ascii="宋体"/>
                <w:color w:val="auto"/>
                <w:szCs w:val="21"/>
              </w:rPr>
              <w:t>；</w:t>
            </w:r>
          </w:p>
          <w:p w14:paraId="7ABC23FC">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乙方</w:t>
            </w:r>
            <w:r>
              <w:rPr>
                <w:rFonts w:ascii="宋体"/>
                <w:color w:val="auto"/>
                <w:szCs w:val="21"/>
              </w:rPr>
              <w:t>或服务项目能够基本按要求响应需求</w:t>
            </w:r>
            <w:r>
              <w:rPr>
                <w:rFonts w:hint="eastAsia" w:ascii="宋体"/>
                <w:color w:val="auto"/>
                <w:szCs w:val="21"/>
              </w:rPr>
              <w:t>，</w:t>
            </w:r>
            <w:r>
              <w:rPr>
                <w:rFonts w:ascii="宋体"/>
                <w:color w:val="auto"/>
                <w:szCs w:val="21"/>
              </w:rPr>
              <w:t>保持与</w:t>
            </w:r>
            <w:r>
              <w:rPr>
                <w:rFonts w:hint="eastAsia" w:ascii="宋体"/>
                <w:color w:val="auto"/>
                <w:szCs w:val="21"/>
              </w:rPr>
              <w:t>甲方</w:t>
            </w:r>
            <w:r>
              <w:rPr>
                <w:rFonts w:ascii="宋体"/>
                <w:color w:val="auto"/>
                <w:szCs w:val="21"/>
              </w:rPr>
              <w:t>的沟通，按时解决问题</w:t>
            </w:r>
            <w:r>
              <w:rPr>
                <w:rFonts w:hint="eastAsia" w:ascii="宋体"/>
                <w:color w:val="auto"/>
                <w:szCs w:val="21"/>
              </w:rPr>
              <w:t>；</w:t>
            </w:r>
          </w:p>
          <w:p w14:paraId="4F5A58B3">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乙方</w:t>
            </w:r>
            <w:r>
              <w:rPr>
                <w:rFonts w:ascii="宋体"/>
                <w:color w:val="auto"/>
                <w:szCs w:val="21"/>
              </w:rPr>
              <w:t>或服务项目未及时响应需求，或响应需求后无法</w:t>
            </w:r>
            <w:r>
              <w:rPr>
                <w:rFonts w:hint="eastAsia" w:ascii="宋体"/>
                <w:color w:val="auto"/>
                <w:szCs w:val="21"/>
              </w:rPr>
              <w:t>及时</w:t>
            </w:r>
            <w:r>
              <w:rPr>
                <w:rFonts w:ascii="宋体"/>
                <w:color w:val="auto"/>
                <w:szCs w:val="21"/>
              </w:rPr>
              <w:t>解决问题</w:t>
            </w:r>
            <w:r>
              <w:rPr>
                <w:rFonts w:hint="eastAsia" w:ascii="宋体"/>
                <w:color w:val="auto"/>
                <w:szCs w:val="21"/>
              </w:rPr>
              <w:t>。</w:t>
            </w:r>
          </w:p>
        </w:tc>
        <w:tc>
          <w:tcPr>
            <w:tcW w:w="2375" w:type="dxa"/>
            <w:tcBorders>
              <w:left w:val="single" w:color="auto" w:sz="4" w:space="0"/>
            </w:tcBorders>
            <w:vAlign w:val="center"/>
          </w:tcPr>
          <w:p w14:paraId="027FDE3F">
            <w:pPr>
              <w:ind w:firstLine="420"/>
              <w:rPr>
                <w:rFonts w:ascii="宋体"/>
                <w:color w:val="auto"/>
                <w:szCs w:val="21"/>
              </w:rPr>
            </w:pPr>
            <w:r>
              <w:rPr>
                <w:rFonts w:hint="eastAsia" w:ascii="宋体"/>
                <w:color w:val="auto"/>
                <w:szCs w:val="21"/>
              </w:rPr>
              <w:t>评价为较差/差，即乙方</w:t>
            </w:r>
            <w:r>
              <w:rPr>
                <w:rFonts w:ascii="宋体"/>
                <w:color w:val="auto"/>
                <w:szCs w:val="21"/>
              </w:rPr>
              <w:t>或服务项目未及时响应需求，或响应需求后无法</w:t>
            </w:r>
            <w:r>
              <w:rPr>
                <w:rFonts w:hint="eastAsia" w:ascii="宋体"/>
                <w:color w:val="auto"/>
                <w:szCs w:val="21"/>
              </w:rPr>
              <w:t>及时</w:t>
            </w:r>
            <w:r>
              <w:rPr>
                <w:rFonts w:ascii="宋体"/>
                <w:color w:val="auto"/>
                <w:szCs w:val="21"/>
              </w:rPr>
              <w:t>解决问题</w:t>
            </w:r>
            <w:r>
              <w:rPr>
                <w:rFonts w:hint="eastAsia" w:ascii="宋体"/>
                <w:color w:val="auto"/>
                <w:szCs w:val="21"/>
              </w:rPr>
              <w:t>，扣除乙方金额人民币不低于1000元。</w:t>
            </w:r>
          </w:p>
        </w:tc>
        <w:tc>
          <w:tcPr>
            <w:tcW w:w="775" w:type="dxa"/>
            <w:tcBorders>
              <w:left w:val="single" w:color="auto" w:sz="4" w:space="0"/>
            </w:tcBorders>
            <w:vAlign w:val="center"/>
          </w:tcPr>
          <w:p w14:paraId="45DBF742">
            <w:pPr>
              <w:ind w:firstLine="420"/>
              <w:jc w:val="left"/>
              <w:rPr>
                <w:rFonts w:ascii="宋体"/>
                <w:color w:val="auto"/>
                <w:szCs w:val="21"/>
              </w:rPr>
            </w:pPr>
          </w:p>
        </w:tc>
        <w:tc>
          <w:tcPr>
            <w:tcW w:w="745" w:type="dxa"/>
            <w:tcBorders>
              <w:left w:val="single" w:color="auto" w:sz="4" w:space="0"/>
            </w:tcBorders>
            <w:vAlign w:val="center"/>
          </w:tcPr>
          <w:p w14:paraId="26F780F1">
            <w:pPr>
              <w:ind w:firstLine="420"/>
              <w:jc w:val="left"/>
              <w:rPr>
                <w:rFonts w:ascii="宋体"/>
                <w:color w:val="auto"/>
                <w:szCs w:val="21"/>
              </w:rPr>
            </w:pPr>
          </w:p>
        </w:tc>
      </w:tr>
      <w:tr w14:paraId="3553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9511953">
            <w:pPr>
              <w:pStyle w:val="54"/>
              <w:rPr>
                <w:rFonts w:hint="default"/>
                <w:color w:val="auto"/>
              </w:rPr>
            </w:pPr>
            <w:r>
              <w:rPr>
                <w:color w:val="auto"/>
              </w:rPr>
              <w:t>10</w:t>
            </w:r>
          </w:p>
        </w:tc>
        <w:tc>
          <w:tcPr>
            <w:tcW w:w="782" w:type="dxa"/>
            <w:vMerge w:val="continue"/>
            <w:tcBorders>
              <w:left w:val="single" w:color="auto" w:sz="4" w:space="0"/>
            </w:tcBorders>
          </w:tcPr>
          <w:p w14:paraId="44A0AAD4">
            <w:pPr>
              <w:pStyle w:val="54"/>
              <w:rPr>
                <w:rFonts w:hint="default"/>
                <w:color w:val="auto"/>
              </w:rPr>
            </w:pPr>
          </w:p>
        </w:tc>
        <w:tc>
          <w:tcPr>
            <w:tcW w:w="725" w:type="dxa"/>
            <w:tcBorders>
              <w:left w:val="single" w:color="auto" w:sz="4" w:space="0"/>
            </w:tcBorders>
            <w:vAlign w:val="center"/>
          </w:tcPr>
          <w:p w14:paraId="7C8F3F79">
            <w:pPr>
              <w:pStyle w:val="54"/>
              <w:rPr>
                <w:rFonts w:hint="default"/>
                <w:color w:val="auto"/>
              </w:rPr>
            </w:pPr>
            <w:r>
              <w:rPr>
                <w:color w:val="auto"/>
              </w:rPr>
              <w:t>需求排期率</w:t>
            </w:r>
          </w:p>
        </w:tc>
        <w:tc>
          <w:tcPr>
            <w:tcW w:w="3412" w:type="dxa"/>
            <w:tcBorders>
              <w:left w:val="single" w:color="auto" w:sz="4" w:space="0"/>
            </w:tcBorders>
            <w:vAlign w:val="center"/>
          </w:tcPr>
          <w:p w14:paraId="34F6ED3B">
            <w:pPr>
              <w:ind w:firstLine="420"/>
              <w:rPr>
                <w:rFonts w:ascii="宋体"/>
                <w:color w:val="auto"/>
                <w:szCs w:val="21"/>
              </w:rPr>
            </w:pPr>
            <w:r>
              <w:rPr>
                <w:rFonts w:ascii="宋体"/>
                <w:color w:val="auto"/>
                <w:szCs w:val="21"/>
              </w:rPr>
              <w:t>用于记录统计周期内对</w:t>
            </w:r>
            <w:r>
              <w:rPr>
                <w:rFonts w:hint="eastAsia" w:ascii="宋体"/>
                <w:color w:val="auto"/>
                <w:szCs w:val="21"/>
              </w:rPr>
              <w:t>甲方</w:t>
            </w:r>
            <w:r>
              <w:rPr>
                <w:rFonts w:ascii="宋体"/>
                <w:color w:val="auto"/>
                <w:szCs w:val="21"/>
              </w:rPr>
              <w:t>需求进行投产计划安排的比例</w:t>
            </w:r>
          </w:p>
        </w:tc>
        <w:tc>
          <w:tcPr>
            <w:tcW w:w="4463" w:type="dxa"/>
            <w:tcBorders>
              <w:left w:val="single" w:color="auto" w:sz="4" w:space="0"/>
            </w:tcBorders>
            <w:vAlign w:val="center"/>
          </w:tcPr>
          <w:p w14:paraId="18B272A6">
            <w:pPr>
              <w:ind w:firstLine="420"/>
              <w:rPr>
                <w:rFonts w:ascii="宋体"/>
                <w:color w:val="auto"/>
                <w:szCs w:val="21"/>
              </w:rPr>
            </w:pPr>
            <w:r>
              <w:rPr>
                <w:rFonts w:ascii="宋体"/>
                <w:color w:val="auto"/>
                <w:szCs w:val="21"/>
              </w:rPr>
              <w:t>需求排期率=已排期需求数/总需求数</w:t>
            </w:r>
          </w:p>
          <w:p w14:paraId="4B8E9EC9">
            <w:pPr>
              <w:ind w:firstLine="420"/>
              <w:rPr>
                <w:rFonts w:ascii="宋体"/>
                <w:color w:val="auto"/>
                <w:szCs w:val="21"/>
              </w:rPr>
            </w:pPr>
            <w:r>
              <w:rPr>
                <w:rFonts w:ascii="宋体"/>
                <w:color w:val="auto"/>
                <w:szCs w:val="21"/>
              </w:rPr>
              <w:t>注：已排期需求数指统计周期内已经纳入投产计划的需求个数。总需求数指统计周期内由</w:t>
            </w:r>
            <w:r>
              <w:rPr>
                <w:rFonts w:hint="eastAsia" w:ascii="宋体"/>
                <w:color w:val="auto"/>
                <w:szCs w:val="21"/>
              </w:rPr>
              <w:t>甲方</w:t>
            </w:r>
            <w:r>
              <w:rPr>
                <w:rFonts w:ascii="宋体"/>
                <w:color w:val="auto"/>
                <w:szCs w:val="21"/>
              </w:rPr>
              <w:t>提出到达服务商项目组的需求数。</w:t>
            </w:r>
          </w:p>
          <w:p w14:paraId="344C1099">
            <w:pPr>
              <w:ind w:firstLine="422"/>
              <w:rPr>
                <w:rFonts w:ascii="宋体"/>
                <w:b/>
                <w:color w:val="auto"/>
                <w:szCs w:val="21"/>
              </w:rPr>
            </w:pPr>
            <w:r>
              <w:rPr>
                <w:rFonts w:hint="eastAsia" w:ascii="宋体"/>
                <w:b/>
                <w:color w:val="auto"/>
                <w:szCs w:val="21"/>
              </w:rPr>
              <w:t>5分【98%-100%】</w:t>
            </w:r>
          </w:p>
          <w:p w14:paraId="2A4F1193">
            <w:pPr>
              <w:ind w:firstLine="422"/>
              <w:rPr>
                <w:rFonts w:ascii="宋体"/>
                <w:b/>
                <w:color w:val="auto"/>
                <w:szCs w:val="21"/>
              </w:rPr>
            </w:pPr>
            <w:r>
              <w:rPr>
                <w:rFonts w:hint="eastAsia" w:ascii="宋体"/>
                <w:b/>
                <w:color w:val="auto"/>
                <w:szCs w:val="21"/>
              </w:rPr>
              <w:t>3分【95%-97%】</w:t>
            </w:r>
          </w:p>
          <w:p w14:paraId="54DAC518">
            <w:pPr>
              <w:ind w:firstLine="422"/>
              <w:rPr>
                <w:rFonts w:ascii="宋体"/>
                <w:b/>
                <w:bCs/>
                <w:color w:val="auto"/>
                <w:szCs w:val="21"/>
              </w:rPr>
            </w:pPr>
            <w:r>
              <w:rPr>
                <w:rFonts w:hint="eastAsia" w:ascii="宋体"/>
                <w:b/>
                <w:color w:val="auto"/>
                <w:szCs w:val="21"/>
              </w:rPr>
              <w:t>0分【低于95%】</w:t>
            </w:r>
          </w:p>
        </w:tc>
        <w:tc>
          <w:tcPr>
            <w:tcW w:w="2375" w:type="dxa"/>
            <w:tcBorders>
              <w:left w:val="single" w:color="auto" w:sz="4" w:space="0"/>
            </w:tcBorders>
            <w:vAlign w:val="center"/>
          </w:tcPr>
          <w:p w14:paraId="1DD4FEEA">
            <w:pPr>
              <w:ind w:firstLine="420"/>
              <w:rPr>
                <w:rFonts w:ascii="宋体"/>
                <w:color w:val="auto"/>
                <w:szCs w:val="21"/>
              </w:rPr>
            </w:pPr>
          </w:p>
        </w:tc>
        <w:tc>
          <w:tcPr>
            <w:tcW w:w="775" w:type="dxa"/>
            <w:tcBorders>
              <w:left w:val="single" w:color="auto" w:sz="4" w:space="0"/>
            </w:tcBorders>
            <w:vAlign w:val="center"/>
          </w:tcPr>
          <w:p w14:paraId="6181BD89">
            <w:pPr>
              <w:ind w:firstLine="420"/>
              <w:jc w:val="left"/>
              <w:rPr>
                <w:rFonts w:ascii="宋体"/>
                <w:color w:val="auto"/>
                <w:szCs w:val="21"/>
              </w:rPr>
            </w:pPr>
          </w:p>
        </w:tc>
        <w:tc>
          <w:tcPr>
            <w:tcW w:w="745" w:type="dxa"/>
            <w:tcBorders>
              <w:left w:val="single" w:color="auto" w:sz="4" w:space="0"/>
            </w:tcBorders>
            <w:vAlign w:val="center"/>
          </w:tcPr>
          <w:p w14:paraId="3DD60C71">
            <w:pPr>
              <w:ind w:firstLine="420"/>
              <w:jc w:val="left"/>
              <w:rPr>
                <w:rFonts w:ascii="宋体"/>
                <w:color w:val="auto"/>
                <w:szCs w:val="21"/>
              </w:rPr>
            </w:pPr>
          </w:p>
        </w:tc>
      </w:tr>
      <w:tr w14:paraId="562C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3E98FE99">
            <w:pPr>
              <w:pStyle w:val="54"/>
              <w:rPr>
                <w:rFonts w:hint="default"/>
                <w:color w:val="auto"/>
              </w:rPr>
            </w:pPr>
            <w:r>
              <w:rPr>
                <w:color w:val="auto"/>
              </w:rPr>
              <w:t>11</w:t>
            </w:r>
          </w:p>
        </w:tc>
        <w:tc>
          <w:tcPr>
            <w:tcW w:w="782" w:type="dxa"/>
            <w:vMerge w:val="continue"/>
            <w:tcBorders>
              <w:left w:val="single" w:color="auto" w:sz="4" w:space="0"/>
            </w:tcBorders>
          </w:tcPr>
          <w:p w14:paraId="6632CA8F">
            <w:pPr>
              <w:pStyle w:val="54"/>
              <w:rPr>
                <w:rFonts w:hint="default"/>
                <w:color w:val="auto"/>
              </w:rPr>
            </w:pPr>
          </w:p>
        </w:tc>
        <w:tc>
          <w:tcPr>
            <w:tcW w:w="725" w:type="dxa"/>
            <w:tcBorders>
              <w:left w:val="single" w:color="auto" w:sz="4" w:space="0"/>
            </w:tcBorders>
            <w:vAlign w:val="center"/>
          </w:tcPr>
          <w:p w14:paraId="687A3482">
            <w:pPr>
              <w:pStyle w:val="54"/>
              <w:rPr>
                <w:rFonts w:hint="default"/>
                <w:color w:val="auto"/>
              </w:rPr>
            </w:pPr>
            <w:r>
              <w:rPr>
                <w:color w:val="auto"/>
              </w:rPr>
              <w:t>需求完成率</w:t>
            </w:r>
          </w:p>
        </w:tc>
        <w:tc>
          <w:tcPr>
            <w:tcW w:w="3412" w:type="dxa"/>
            <w:tcBorders>
              <w:left w:val="single" w:color="auto" w:sz="4" w:space="0"/>
            </w:tcBorders>
            <w:vAlign w:val="center"/>
          </w:tcPr>
          <w:p w14:paraId="208F7057">
            <w:pPr>
              <w:ind w:firstLine="420"/>
              <w:rPr>
                <w:rFonts w:ascii="宋体"/>
                <w:color w:val="auto"/>
                <w:szCs w:val="21"/>
              </w:rPr>
            </w:pPr>
            <w:r>
              <w:rPr>
                <w:rFonts w:ascii="宋体"/>
                <w:color w:val="auto"/>
                <w:szCs w:val="21"/>
              </w:rPr>
              <w:t>用于记录统计周期内</w:t>
            </w:r>
            <w:r>
              <w:rPr>
                <w:rFonts w:hint="eastAsia" w:ascii="宋体"/>
                <w:color w:val="auto"/>
                <w:szCs w:val="21"/>
              </w:rPr>
              <w:t>甲方</w:t>
            </w:r>
            <w:r>
              <w:rPr>
                <w:rFonts w:ascii="宋体"/>
                <w:color w:val="auto"/>
                <w:szCs w:val="21"/>
              </w:rPr>
              <w:t>需求完成投产的比例</w:t>
            </w:r>
          </w:p>
        </w:tc>
        <w:tc>
          <w:tcPr>
            <w:tcW w:w="4463" w:type="dxa"/>
            <w:tcBorders>
              <w:left w:val="single" w:color="auto" w:sz="4" w:space="0"/>
            </w:tcBorders>
            <w:vAlign w:val="center"/>
          </w:tcPr>
          <w:p w14:paraId="53618633">
            <w:pPr>
              <w:ind w:firstLine="420"/>
              <w:rPr>
                <w:rFonts w:ascii="宋体"/>
                <w:color w:val="auto"/>
                <w:szCs w:val="21"/>
              </w:rPr>
            </w:pPr>
            <w:r>
              <w:rPr>
                <w:rFonts w:hint="eastAsia" w:ascii="宋体"/>
                <w:color w:val="auto"/>
                <w:szCs w:val="21"/>
              </w:rPr>
              <w:t>需</w:t>
            </w:r>
            <w:r>
              <w:rPr>
                <w:rFonts w:ascii="宋体"/>
                <w:color w:val="auto"/>
                <w:szCs w:val="21"/>
              </w:rPr>
              <w:t>求完成率=流程完结需求数/总需求数</w:t>
            </w:r>
          </w:p>
          <w:p w14:paraId="06345FCE">
            <w:pPr>
              <w:ind w:firstLine="420"/>
              <w:rPr>
                <w:rFonts w:ascii="宋体"/>
                <w:color w:val="auto"/>
                <w:szCs w:val="21"/>
              </w:rPr>
            </w:pPr>
            <w:r>
              <w:rPr>
                <w:rFonts w:ascii="宋体"/>
                <w:color w:val="auto"/>
                <w:szCs w:val="21"/>
              </w:rPr>
              <w:t>注：流程完结需求数指统计周期内已完成投产的需求个数</w:t>
            </w:r>
            <w:r>
              <w:rPr>
                <w:rFonts w:hint="eastAsia" w:ascii="宋体"/>
                <w:color w:val="auto"/>
                <w:szCs w:val="21"/>
              </w:rPr>
              <w:t>；</w:t>
            </w:r>
            <w:r>
              <w:rPr>
                <w:rFonts w:ascii="宋体"/>
                <w:color w:val="auto"/>
                <w:szCs w:val="21"/>
              </w:rPr>
              <w:t>总需求数指统计周期内由</w:t>
            </w:r>
            <w:r>
              <w:rPr>
                <w:rFonts w:hint="eastAsia" w:ascii="宋体"/>
                <w:color w:val="auto"/>
                <w:szCs w:val="21"/>
              </w:rPr>
              <w:t>甲方</w:t>
            </w:r>
            <w:r>
              <w:rPr>
                <w:rFonts w:ascii="宋体"/>
                <w:color w:val="auto"/>
                <w:szCs w:val="21"/>
              </w:rPr>
              <w:t>提出到达服务商项目组的需求个数。</w:t>
            </w:r>
          </w:p>
          <w:p w14:paraId="606AF267">
            <w:pPr>
              <w:ind w:firstLine="422"/>
              <w:rPr>
                <w:rFonts w:ascii="宋体"/>
                <w:b/>
                <w:color w:val="auto"/>
                <w:szCs w:val="21"/>
              </w:rPr>
            </w:pPr>
            <w:r>
              <w:rPr>
                <w:rFonts w:hint="eastAsia" w:ascii="宋体"/>
                <w:b/>
                <w:color w:val="auto"/>
                <w:szCs w:val="21"/>
              </w:rPr>
              <w:t>5分【98%-100%】</w:t>
            </w:r>
          </w:p>
          <w:p w14:paraId="7E46590E">
            <w:pPr>
              <w:ind w:firstLine="422"/>
              <w:rPr>
                <w:rFonts w:ascii="宋体"/>
                <w:b/>
                <w:color w:val="auto"/>
                <w:szCs w:val="21"/>
              </w:rPr>
            </w:pPr>
            <w:r>
              <w:rPr>
                <w:rFonts w:hint="eastAsia" w:ascii="宋体"/>
                <w:b/>
                <w:color w:val="auto"/>
                <w:szCs w:val="21"/>
              </w:rPr>
              <w:t>3分【95%-97%】</w:t>
            </w:r>
          </w:p>
          <w:p w14:paraId="7FCD4A63">
            <w:pPr>
              <w:ind w:firstLine="422"/>
              <w:rPr>
                <w:rFonts w:ascii="宋体"/>
                <w:b/>
                <w:bCs/>
                <w:color w:val="auto"/>
                <w:szCs w:val="21"/>
              </w:rPr>
            </w:pPr>
            <w:r>
              <w:rPr>
                <w:rFonts w:hint="eastAsia" w:ascii="宋体"/>
                <w:b/>
                <w:color w:val="auto"/>
                <w:szCs w:val="21"/>
              </w:rPr>
              <w:t>0分【低于95%】</w:t>
            </w:r>
          </w:p>
        </w:tc>
        <w:tc>
          <w:tcPr>
            <w:tcW w:w="2375" w:type="dxa"/>
            <w:tcBorders>
              <w:left w:val="single" w:color="auto" w:sz="4" w:space="0"/>
            </w:tcBorders>
            <w:vAlign w:val="center"/>
          </w:tcPr>
          <w:p w14:paraId="131A9815">
            <w:pPr>
              <w:ind w:firstLine="420"/>
              <w:rPr>
                <w:rFonts w:ascii="宋体"/>
                <w:color w:val="auto"/>
                <w:szCs w:val="21"/>
              </w:rPr>
            </w:pPr>
          </w:p>
        </w:tc>
        <w:tc>
          <w:tcPr>
            <w:tcW w:w="775" w:type="dxa"/>
            <w:tcBorders>
              <w:left w:val="single" w:color="auto" w:sz="4" w:space="0"/>
            </w:tcBorders>
            <w:vAlign w:val="center"/>
          </w:tcPr>
          <w:p w14:paraId="259A1972">
            <w:pPr>
              <w:ind w:firstLine="420"/>
              <w:jc w:val="left"/>
              <w:rPr>
                <w:rFonts w:ascii="宋体"/>
                <w:color w:val="auto"/>
                <w:szCs w:val="21"/>
              </w:rPr>
            </w:pPr>
          </w:p>
        </w:tc>
        <w:tc>
          <w:tcPr>
            <w:tcW w:w="745" w:type="dxa"/>
            <w:tcBorders>
              <w:left w:val="single" w:color="auto" w:sz="4" w:space="0"/>
            </w:tcBorders>
            <w:vAlign w:val="center"/>
          </w:tcPr>
          <w:p w14:paraId="3FF1EA4D">
            <w:pPr>
              <w:ind w:firstLine="420"/>
              <w:jc w:val="left"/>
              <w:rPr>
                <w:rFonts w:ascii="宋体"/>
                <w:color w:val="auto"/>
                <w:szCs w:val="21"/>
              </w:rPr>
            </w:pPr>
          </w:p>
        </w:tc>
      </w:tr>
      <w:tr w14:paraId="5D5C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3BB21850">
            <w:pPr>
              <w:pStyle w:val="54"/>
              <w:rPr>
                <w:rFonts w:hint="default"/>
                <w:color w:val="auto"/>
              </w:rPr>
            </w:pPr>
            <w:r>
              <w:rPr>
                <w:color w:val="auto"/>
              </w:rPr>
              <w:t>12</w:t>
            </w:r>
          </w:p>
        </w:tc>
        <w:tc>
          <w:tcPr>
            <w:tcW w:w="782" w:type="dxa"/>
            <w:vMerge w:val="continue"/>
            <w:tcBorders>
              <w:left w:val="single" w:color="auto" w:sz="4" w:space="0"/>
            </w:tcBorders>
          </w:tcPr>
          <w:p w14:paraId="20612412">
            <w:pPr>
              <w:pStyle w:val="54"/>
              <w:rPr>
                <w:rFonts w:hint="default"/>
                <w:color w:val="auto"/>
              </w:rPr>
            </w:pPr>
          </w:p>
        </w:tc>
        <w:tc>
          <w:tcPr>
            <w:tcW w:w="725" w:type="dxa"/>
            <w:tcBorders>
              <w:left w:val="single" w:color="auto" w:sz="4" w:space="0"/>
            </w:tcBorders>
            <w:vAlign w:val="center"/>
          </w:tcPr>
          <w:p w14:paraId="5EE8BD39">
            <w:pPr>
              <w:pStyle w:val="54"/>
              <w:rPr>
                <w:rFonts w:hint="default"/>
                <w:color w:val="auto"/>
              </w:rPr>
            </w:pPr>
            <w:r>
              <w:rPr>
                <w:color w:val="auto"/>
              </w:rPr>
              <w:t>人员行为规范性</w:t>
            </w:r>
          </w:p>
        </w:tc>
        <w:tc>
          <w:tcPr>
            <w:tcW w:w="3412" w:type="dxa"/>
            <w:tcBorders>
              <w:left w:val="single" w:color="auto" w:sz="4" w:space="0"/>
            </w:tcBorders>
            <w:vAlign w:val="center"/>
          </w:tcPr>
          <w:p w14:paraId="5FD5EA60">
            <w:pPr>
              <w:ind w:firstLine="420"/>
              <w:rPr>
                <w:rFonts w:ascii="宋体"/>
                <w:color w:val="auto"/>
                <w:szCs w:val="21"/>
              </w:rPr>
            </w:pPr>
            <w:r>
              <w:rPr>
                <w:rFonts w:hint="eastAsia" w:ascii="宋体"/>
                <w:color w:val="auto"/>
                <w:szCs w:val="21"/>
              </w:rPr>
              <w:t>用</w:t>
            </w:r>
            <w:r>
              <w:rPr>
                <w:rFonts w:ascii="宋体"/>
                <w:color w:val="auto"/>
                <w:szCs w:val="21"/>
              </w:rPr>
              <w:t>于记录外包场地日常管理或</w:t>
            </w:r>
            <w:r>
              <w:rPr>
                <w:rFonts w:hint="eastAsia" w:ascii="宋体"/>
                <w:color w:val="auto"/>
                <w:szCs w:val="21"/>
              </w:rPr>
              <w:t>检查</w:t>
            </w:r>
            <w:r>
              <w:rPr>
                <w:rFonts w:ascii="宋体"/>
                <w:color w:val="auto"/>
                <w:szCs w:val="21"/>
              </w:rPr>
              <w:t>过程中发现外包人员</w:t>
            </w:r>
            <w:r>
              <w:rPr>
                <w:rFonts w:hint="eastAsia" w:ascii="宋体"/>
                <w:color w:val="auto"/>
                <w:szCs w:val="21"/>
              </w:rPr>
              <w:t>行为</w:t>
            </w:r>
            <w:r>
              <w:rPr>
                <w:rFonts w:ascii="宋体"/>
                <w:color w:val="auto"/>
                <w:szCs w:val="21"/>
              </w:rPr>
              <w:t>违</w:t>
            </w:r>
            <w:r>
              <w:rPr>
                <w:rFonts w:hint="eastAsia" w:ascii="宋体"/>
                <w:color w:val="auto"/>
                <w:szCs w:val="21"/>
              </w:rPr>
              <w:t>规（包括但不限于办公纪律、造成办公环境物理安全隐患等）</w:t>
            </w:r>
            <w:r>
              <w:rPr>
                <w:rFonts w:ascii="宋体"/>
                <w:color w:val="auto"/>
                <w:szCs w:val="21"/>
              </w:rPr>
              <w:t>的次数</w:t>
            </w:r>
          </w:p>
        </w:tc>
        <w:tc>
          <w:tcPr>
            <w:tcW w:w="4463" w:type="dxa"/>
            <w:tcBorders>
              <w:left w:val="single" w:color="auto" w:sz="4" w:space="0"/>
            </w:tcBorders>
            <w:vAlign w:val="center"/>
          </w:tcPr>
          <w:p w14:paraId="4E539EA0">
            <w:pPr>
              <w:ind w:firstLine="422"/>
              <w:rPr>
                <w:rFonts w:ascii="宋体"/>
                <w:b/>
                <w:bCs/>
                <w:color w:val="auto"/>
                <w:szCs w:val="21"/>
              </w:rPr>
            </w:pPr>
            <w:r>
              <w:rPr>
                <w:rFonts w:hint="eastAsia" w:ascii="宋体"/>
                <w:b/>
                <w:bCs/>
                <w:color w:val="auto"/>
                <w:szCs w:val="21"/>
              </w:rPr>
              <w:t>【得分上限1</w:t>
            </w:r>
            <w:r>
              <w:rPr>
                <w:rFonts w:ascii="宋体"/>
                <w:b/>
                <w:bCs/>
                <w:color w:val="auto"/>
                <w:szCs w:val="21"/>
              </w:rPr>
              <w:t>0</w:t>
            </w:r>
            <w:r>
              <w:rPr>
                <w:rFonts w:hint="eastAsia" w:ascii="宋体"/>
                <w:b/>
                <w:bCs/>
                <w:color w:val="auto"/>
                <w:szCs w:val="21"/>
              </w:rPr>
              <w:t>分】</w:t>
            </w:r>
          </w:p>
          <w:p w14:paraId="011D059E">
            <w:pPr>
              <w:ind w:firstLine="422"/>
              <w:rPr>
                <w:rFonts w:ascii="宋体"/>
                <w:color w:val="auto"/>
                <w:szCs w:val="21"/>
              </w:rPr>
            </w:pPr>
            <w:r>
              <w:rPr>
                <w:rFonts w:hint="eastAsia" w:ascii="宋体"/>
                <w:b/>
                <w:bCs/>
                <w:color w:val="auto"/>
                <w:szCs w:val="21"/>
              </w:rPr>
              <w:t>0次：</w:t>
            </w:r>
            <w:r>
              <w:rPr>
                <w:rFonts w:hint="eastAsia" w:ascii="宋体"/>
                <w:color w:val="auto"/>
                <w:szCs w:val="21"/>
              </w:rPr>
              <w:t>指未出现外包人员行为违规，该项指标满分；</w:t>
            </w:r>
          </w:p>
          <w:p w14:paraId="5B2D3D3B">
            <w:pPr>
              <w:ind w:firstLine="422"/>
              <w:rPr>
                <w:rFonts w:ascii="宋体"/>
                <w:color w:val="auto"/>
                <w:szCs w:val="21"/>
              </w:rPr>
            </w:pPr>
            <w:r>
              <w:rPr>
                <w:rFonts w:hint="eastAsia" w:ascii="宋体"/>
                <w:b/>
                <w:bCs/>
                <w:color w:val="auto"/>
                <w:szCs w:val="21"/>
              </w:rPr>
              <w:t>1次及以上：</w:t>
            </w:r>
            <w:r>
              <w:rPr>
                <w:rFonts w:hint="eastAsia" w:ascii="宋体"/>
                <w:color w:val="auto"/>
                <w:szCs w:val="21"/>
              </w:rPr>
              <w:t>指检查发现外包人员行为违规1次及以上（每人次扣5分，最高扣除1</w:t>
            </w:r>
            <w:r>
              <w:rPr>
                <w:rFonts w:ascii="宋体"/>
                <w:color w:val="auto"/>
                <w:szCs w:val="21"/>
              </w:rPr>
              <w:t>0</w:t>
            </w:r>
            <w:r>
              <w:rPr>
                <w:rFonts w:hint="eastAsia" w:ascii="宋体"/>
                <w:color w:val="auto"/>
                <w:szCs w:val="21"/>
              </w:rPr>
              <w:t>分）</w:t>
            </w:r>
          </w:p>
        </w:tc>
        <w:tc>
          <w:tcPr>
            <w:tcW w:w="2375" w:type="dxa"/>
            <w:tcBorders>
              <w:left w:val="single" w:color="auto" w:sz="4" w:space="0"/>
            </w:tcBorders>
            <w:vAlign w:val="center"/>
          </w:tcPr>
          <w:p w14:paraId="3E8A84DB">
            <w:pPr>
              <w:ind w:firstLine="420"/>
              <w:rPr>
                <w:rFonts w:ascii="宋体"/>
                <w:color w:val="auto"/>
                <w:szCs w:val="21"/>
              </w:rPr>
            </w:pPr>
            <w:r>
              <w:rPr>
                <w:rFonts w:hint="eastAsia" w:ascii="宋体"/>
                <w:color w:val="auto"/>
                <w:szCs w:val="21"/>
              </w:rPr>
              <w:t>每出现一次人员行为</w:t>
            </w:r>
            <w:r>
              <w:rPr>
                <w:rFonts w:ascii="宋体"/>
                <w:color w:val="auto"/>
                <w:szCs w:val="21"/>
              </w:rPr>
              <w:t>违规</w:t>
            </w:r>
            <w:r>
              <w:rPr>
                <w:rFonts w:hint="eastAsia" w:ascii="宋体"/>
                <w:color w:val="auto"/>
                <w:szCs w:val="21"/>
              </w:rPr>
              <w:t>，扣除乙方金额人民币不低于500元。</w:t>
            </w:r>
          </w:p>
        </w:tc>
        <w:tc>
          <w:tcPr>
            <w:tcW w:w="775" w:type="dxa"/>
            <w:tcBorders>
              <w:left w:val="single" w:color="auto" w:sz="4" w:space="0"/>
            </w:tcBorders>
            <w:vAlign w:val="center"/>
          </w:tcPr>
          <w:p w14:paraId="6617203A">
            <w:pPr>
              <w:ind w:firstLine="420"/>
              <w:jc w:val="left"/>
              <w:rPr>
                <w:rFonts w:ascii="宋体"/>
                <w:color w:val="auto"/>
                <w:szCs w:val="21"/>
              </w:rPr>
            </w:pPr>
          </w:p>
        </w:tc>
        <w:tc>
          <w:tcPr>
            <w:tcW w:w="745" w:type="dxa"/>
            <w:tcBorders>
              <w:left w:val="single" w:color="auto" w:sz="4" w:space="0"/>
            </w:tcBorders>
            <w:vAlign w:val="center"/>
          </w:tcPr>
          <w:p w14:paraId="59BE2F07">
            <w:pPr>
              <w:ind w:firstLine="420"/>
              <w:jc w:val="left"/>
              <w:rPr>
                <w:rFonts w:ascii="宋体"/>
                <w:color w:val="auto"/>
                <w:szCs w:val="21"/>
              </w:rPr>
            </w:pPr>
          </w:p>
        </w:tc>
      </w:tr>
      <w:tr w14:paraId="5ECA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4E11627">
            <w:pPr>
              <w:pStyle w:val="54"/>
              <w:rPr>
                <w:rFonts w:hint="default"/>
                <w:color w:val="auto"/>
              </w:rPr>
            </w:pPr>
            <w:r>
              <w:rPr>
                <w:color w:val="auto"/>
              </w:rPr>
              <w:t>13</w:t>
            </w:r>
          </w:p>
        </w:tc>
        <w:tc>
          <w:tcPr>
            <w:tcW w:w="782" w:type="dxa"/>
            <w:vMerge w:val="continue"/>
            <w:tcBorders>
              <w:left w:val="single" w:color="auto" w:sz="4" w:space="0"/>
            </w:tcBorders>
          </w:tcPr>
          <w:p w14:paraId="3A18EBDF">
            <w:pPr>
              <w:pStyle w:val="54"/>
              <w:rPr>
                <w:rFonts w:hint="default"/>
                <w:color w:val="auto"/>
              </w:rPr>
            </w:pPr>
          </w:p>
        </w:tc>
        <w:tc>
          <w:tcPr>
            <w:tcW w:w="725" w:type="dxa"/>
            <w:tcBorders>
              <w:left w:val="single" w:color="auto" w:sz="4" w:space="0"/>
            </w:tcBorders>
            <w:vAlign w:val="center"/>
          </w:tcPr>
          <w:p w14:paraId="2A375EB4">
            <w:pPr>
              <w:pStyle w:val="54"/>
              <w:rPr>
                <w:rFonts w:hint="default"/>
                <w:color w:val="auto"/>
              </w:rPr>
            </w:pPr>
            <w:r>
              <w:rPr>
                <w:color w:val="auto"/>
              </w:rPr>
              <w:t>人员变动率</w:t>
            </w:r>
          </w:p>
        </w:tc>
        <w:tc>
          <w:tcPr>
            <w:tcW w:w="3412" w:type="dxa"/>
            <w:tcBorders>
              <w:left w:val="single" w:color="auto" w:sz="4" w:space="0"/>
            </w:tcBorders>
            <w:vAlign w:val="center"/>
          </w:tcPr>
          <w:p w14:paraId="31AD692B">
            <w:pPr>
              <w:ind w:firstLine="420"/>
              <w:rPr>
                <w:rFonts w:ascii="宋体"/>
                <w:color w:val="auto"/>
                <w:szCs w:val="21"/>
              </w:rPr>
            </w:pPr>
            <w:r>
              <w:rPr>
                <w:rFonts w:hint="eastAsia" w:ascii="宋体"/>
                <w:color w:val="auto"/>
                <w:szCs w:val="21"/>
              </w:rPr>
              <w:t>用</w:t>
            </w:r>
            <w:r>
              <w:rPr>
                <w:rFonts w:ascii="宋体"/>
                <w:color w:val="auto"/>
                <w:szCs w:val="21"/>
              </w:rPr>
              <w:t>于记录统计周期内</w:t>
            </w:r>
            <w:r>
              <w:rPr>
                <w:rFonts w:hint="eastAsia" w:ascii="宋体"/>
                <w:color w:val="auto"/>
                <w:szCs w:val="21"/>
              </w:rPr>
              <w:t>乙方未经甲方同意</w:t>
            </w:r>
            <w:r>
              <w:rPr>
                <w:rFonts w:ascii="宋体"/>
                <w:color w:val="auto"/>
                <w:szCs w:val="21"/>
              </w:rPr>
              <w:t>更换外包人员数量占</w:t>
            </w:r>
            <w:r>
              <w:rPr>
                <w:rFonts w:hint="eastAsia" w:ascii="宋体"/>
                <w:color w:val="auto"/>
                <w:szCs w:val="21"/>
              </w:rPr>
              <w:t>乙方</w:t>
            </w:r>
            <w:r>
              <w:rPr>
                <w:rFonts w:ascii="宋体"/>
                <w:color w:val="auto"/>
                <w:szCs w:val="21"/>
              </w:rPr>
              <w:t>驻场外包人员总数量的比率</w:t>
            </w:r>
          </w:p>
        </w:tc>
        <w:tc>
          <w:tcPr>
            <w:tcW w:w="4463" w:type="dxa"/>
            <w:tcBorders>
              <w:left w:val="single" w:color="auto" w:sz="4" w:space="0"/>
            </w:tcBorders>
            <w:vAlign w:val="center"/>
          </w:tcPr>
          <w:p w14:paraId="179DF1A5">
            <w:pPr>
              <w:ind w:firstLine="420"/>
              <w:rPr>
                <w:rFonts w:ascii="宋体"/>
                <w:color w:val="auto"/>
                <w:szCs w:val="21"/>
              </w:rPr>
            </w:pPr>
            <w:r>
              <w:rPr>
                <w:rFonts w:hint="eastAsia" w:ascii="宋体"/>
                <w:color w:val="auto"/>
                <w:szCs w:val="21"/>
              </w:rPr>
              <w:t>人</w:t>
            </w:r>
            <w:r>
              <w:rPr>
                <w:rFonts w:ascii="宋体"/>
                <w:color w:val="auto"/>
                <w:szCs w:val="21"/>
              </w:rPr>
              <w:t>员变动率=</w:t>
            </w:r>
            <w:r>
              <w:rPr>
                <w:rFonts w:hint="eastAsia" w:ascii="宋体"/>
                <w:color w:val="auto"/>
                <w:szCs w:val="21"/>
              </w:rPr>
              <w:t>乙方未经甲方同意</w:t>
            </w:r>
            <w:r>
              <w:rPr>
                <w:rFonts w:ascii="宋体"/>
                <w:color w:val="auto"/>
                <w:szCs w:val="21"/>
              </w:rPr>
              <w:t>更换外包人员数量/</w:t>
            </w:r>
            <w:r>
              <w:rPr>
                <w:rFonts w:hint="eastAsia" w:ascii="宋体"/>
                <w:color w:val="auto"/>
                <w:szCs w:val="21"/>
              </w:rPr>
              <w:t>乙方</w:t>
            </w:r>
            <w:r>
              <w:rPr>
                <w:rFonts w:ascii="宋体"/>
                <w:color w:val="auto"/>
                <w:szCs w:val="21"/>
              </w:rPr>
              <w:t>驻场外包人员总数量</w:t>
            </w:r>
          </w:p>
          <w:p w14:paraId="76BB87F9">
            <w:pPr>
              <w:ind w:firstLine="422"/>
              <w:rPr>
                <w:rFonts w:ascii="宋体"/>
                <w:b/>
                <w:color w:val="auto"/>
                <w:szCs w:val="21"/>
              </w:rPr>
            </w:pPr>
            <w:r>
              <w:rPr>
                <w:rFonts w:hint="eastAsia" w:ascii="宋体"/>
                <w:b/>
                <w:color w:val="auto"/>
                <w:szCs w:val="21"/>
              </w:rPr>
              <w:t>10分【0-20%】</w:t>
            </w:r>
          </w:p>
          <w:p w14:paraId="2BFBC406">
            <w:pPr>
              <w:ind w:firstLine="422"/>
              <w:rPr>
                <w:rFonts w:ascii="宋体"/>
                <w:b/>
                <w:color w:val="auto"/>
                <w:szCs w:val="21"/>
              </w:rPr>
            </w:pPr>
            <w:r>
              <w:rPr>
                <w:rFonts w:hint="eastAsia" w:ascii="宋体"/>
                <w:b/>
                <w:color w:val="auto"/>
                <w:szCs w:val="21"/>
              </w:rPr>
              <w:t>5分【20%-40%】</w:t>
            </w:r>
          </w:p>
          <w:p w14:paraId="0FDD6A8A">
            <w:pPr>
              <w:ind w:firstLine="422"/>
              <w:rPr>
                <w:rFonts w:ascii="宋体"/>
                <w:b/>
                <w:color w:val="auto"/>
                <w:szCs w:val="21"/>
              </w:rPr>
            </w:pPr>
            <w:r>
              <w:rPr>
                <w:rFonts w:hint="eastAsia" w:ascii="宋体"/>
                <w:b/>
                <w:color w:val="auto"/>
                <w:szCs w:val="21"/>
              </w:rPr>
              <w:t>0分【超过40%】</w:t>
            </w:r>
          </w:p>
        </w:tc>
        <w:tc>
          <w:tcPr>
            <w:tcW w:w="2375" w:type="dxa"/>
            <w:tcBorders>
              <w:left w:val="single" w:color="auto" w:sz="4" w:space="0"/>
            </w:tcBorders>
            <w:vAlign w:val="center"/>
          </w:tcPr>
          <w:p w14:paraId="2137E3BA">
            <w:pPr>
              <w:ind w:firstLine="420"/>
              <w:rPr>
                <w:rFonts w:ascii="宋体"/>
                <w:color w:val="auto"/>
                <w:szCs w:val="21"/>
              </w:rPr>
            </w:pPr>
            <w:r>
              <w:rPr>
                <w:rFonts w:hint="eastAsia" w:ascii="宋体"/>
                <w:color w:val="auto"/>
                <w:szCs w:val="21"/>
              </w:rPr>
              <w:t>技术骨干或项目经理未经甲方同意变动，扣除乙方金额人民币不低于3万元；其余人员变动率超过40</w:t>
            </w:r>
            <w:r>
              <w:rPr>
                <w:rFonts w:ascii="宋体"/>
                <w:color w:val="auto"/>
                <w:szCs w:val="21"/>
              </w:rPr>
              <w:t>%</w:t>
            </w:r>
            <w:r>
              <w:rPr>
                <w:rFonts w:hint="eastAsia" w:ascii="宋体"/>
                <w:color w:val="auto"/>
                <w:szCs w:val="21"/>
              </w:rPr>
              <w:t>，扣除不低于合同总金额的1%。</w:t>
            </w:r>
          </w:p>
        </w:tc>
        <w:tc>
          <w:tcPr>
            <w:tcW w:w="775" w:type="dxa"/>
            <w:tcBorders>
              <w:left w:val="single" w:color="auto" w:sz="4" w:space="0"/>
            </w:tcBorders>
            <w:vAlign w:val="center"/>
          </w:tcPr>
          <w:p w14:paraId="57E00399">
            <w:pPr>
              <w:ind w:firstLine="420"/>
              <w:jc w:val="left"/>
              <w:rPr>
                <w:rFonts w:ascii="宋体"/>
                <w:color w:val="auto"/>
                <w:szCs w:val="21"/>
              </w:rPr>
            </w:pPr>
          </w:p>
        </w:tc>
        <w:tc>
          <w:tcPr>
            <w:tcW w:w="745" w:type="dxa"/>
            <w:tcBorders>
              <w:left w:val="single" w:color="auto" w:sz="4" w:space="0"/>
            </w:tcBorders>
            <w:vAlign w:val="center"/>
          </w:tcPr>
          <w:p w14:paraId="33EEB51D">
            <w:pPr>
              <w:ind w:firstLine="420"/>
              <w:jc w:val="left"/>
              <w:rPr>
                <w:rFonts w:ascii="宋体"/>
                <w:color w:val="auto"/>
                <w:szCs w:val="21"/>
              </w:rPr>
            </w:pPr>
          </w:p>
        </w:tc>
      </w:tr>
      <w:tr w14:paraId="20DA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6C08EC9">
            <w:pPr>
              <w:pStyle w:val="54"/>
              <w:rPr>
                <w:rFonts w:hint="default"/>
                <w:color w:val="auto"/>
              </w:rPr>
            </w:pPr>
            <w:r>
              <w:rPr>
                <w:color w:val="auto"/>
              </w:rPr>
              <w:t>14</w:t>
            </w:r>
          </w:p>
        </w:tc>
        <w:tc>
          <w:tcPr>
            <w:tcW w:w="782" w:type="dxa"/>
            <w:vMerge w:val="continue"/>
            <w:tcBorders>
              <w:left w:val="single" w:color="auto" w:sz="4" w:space="0"/>
            </w:tcBorders>
          </w:tcPr>
          <w:p w14:paraId="2520FEE3">
            <w:pPr>
              <w:pStyle w:val="54"/>
              <w:rPr>
                <w:rFonts w:hint="default"/>
                <w:color w:val="auto"/>
              </w:rPr>
            </w:pPr>
          </w:p>
        </w:tc>
        <w:tc>
          <w:tcPr>
            <w:tcW w:w="725" w:type="dxa"/>
            <w:tcBorders>
              <w:left w:val="single" w:color="auto" w:sz="4" w:space="0"/>
            </w:tcBorders>
            <w:vAlign w:val="center"/>
          </w:tcPr>
          <w:p w14:paraId="731CB93F">
            <w:pPr>
              <w:pStyle w:val="54"/>
              <w:rPr>
                <w:rFonts w:hint="default"/>
                <w:color w:val="auto"/>
              </w:rPr>
            </w:pPr>
            <w:r>
              <w:rPr>
                <w:color w:val="auto"/>
              </w:rPr>
              <w:t>人员满意度评价</w:t>
            </w:r>
          </w:p>
        </w:tc>
        <w:tc>
          <w:tcPr>
            <w:tcW w:w="3412" w:type="dxa"/>
            <w:tcBorders>
              <w:left w:val="single" w:color="auto" w:sz="4" w:space="0"/>
            </w:tcBorders>
            <w:vAlign w:val="center"/>
          </w:tcPr>
          <w:p w14:paraId="2853B14E">
            <w:pPr>
              <w:ind w:firstLine="420"/>
              <w:rPr>
                <w:rFonts w:ascii="宋体"/>
                <w:color w:val="auto"/>
                <w:szCs w:val="21"/>
              </w:rPr>
            </w:pPr>
            <w:r>
              <w:rPr>
                <w:rFonts w:hint="eastAsia" w:ascii="宋体"/>
                <w:color w:val="auto"/>
                <w:szCs w:val="21"/>
              </w:rPr>
              <w:t>甲方</w:t>
            </w:r>
            <w:r>
              <w:rPr>
                <w:rFonts w:ascii="宋体"/>
                <w:color w:val="auto"/>
                <w:szCs w:val="21"/>
              </w:rPr>
              <w:t>对</w:t>
            </w:r>
            <w:r>
              <w:rPr>
                <w:rFonts w:hint="eastAsia" w:ascii="宋体"/>
                <w:color w:val="auto"/>
                <w:szCs w:val="21"/>
              </w:rPr>
              <w:t>乙方</w:t>
            </w:r>
            <w:r>
              <w:rPr>
                <w:rFonts w:ascii="宋体"/>
                <w:color w:val="auto"/>
                <w:szCs w:val="21"/>
              </w:rPr>
              <w:t>外包人员表现的满意度评价</w:t>
            </w:r>
          </w:p>
        </w:tc>
        <w:tc>
          <w:tcPr>
            <w:tcW w:w="4463" w:type="dxa"/>
            <w:tcBorders>
              <w:left w:val="single" w:color="auto" w:sz="4" w:space="0"/>
            </w:tcBorders>
            <w:vAlign w:val="center"/>
          </w:tcPr>
          <w:p w14:paraId="35ABF999">
            <w:pPr>
              <w:ind w:firstLine="422"/>
              <w:rPr>
                <w:rFonts w:ascii="宋体"/>
                <w:color w:val="auto"/>
                <w:szCs w:val="21"/>
              </w:rPr>
            </w:pPr>
            <w:r>
              <w:rPr>
                <w:rFonts w:hint="eastAsia" w:ascii="宋体"/>
                <w:b/>
                <w:bCs/>
                <w:color w:val="auto"/>
                <w:szCs w:val="21"/>
              </w:rPr>
              <w:t>优秀：</w:t>
            </w:r>
            <w:r>
              <w:rPr>
                <w:rFonts w:hint="eastAsia" w:ascii="宋体"/>
                <w:color w:val="auto"/>
                <w:szCs w:val="21"/>
              </w:rPr>
              <w:t>5分，</w:t>
            </w:r>
            <w:r>
              <w:rPr>
                <w:rFonts w:ascii="宋体"/>
                <w:color w:val="auto"/>
                <w:szCs w:val="21"/>
              </w:rPr>
              <w:t>指</w:t>
            </w:r>
            <w:r>
              <w:rPr>
                <w:rFonts w:hint="eastAsia" w:ascii="宋体"/>
                <w:color w:val="auto"/>
                <w:szCs w:val="21"/>
              </w:rPr>
              <w:t>工作效率高，态度积极主动，</w:t>
            </w:r>
            <w:r>
              <w:rPr>
                <w:rFonts w:ascii="宋体"/>
                <w:color w:val="auto"/>
                <w:szCs w:val="21"/>
              </w:rPr>
              <w:t>保质保量完成工作任务</w:t>
            </w:r>
            <w:r>
              <w:rPr>
                <w:rFonts w:hint="eastAsia" w:ascii="宋体"/>
                <w:color w:val="auto"/>
                <w:szCs w:val="21"/>
              </w:rPr>
              <w:t>，</w:t>
            </w:r>
            <w:r>
              <w:rPr>
                <w:rFonts w:ascii="宋体"/>
                <w:color w:val="auto"/>
                <w:szCs w:val="21"/>
              </w:rPr>
              <w:t>对团队有突出贡献，日常行为能起到模范带头作用</w:t>
            </w:r>
            <w:r>
              <w:rPr>
                <w:rFonts w:hint="eastAsia" w:ascii="宋体"/>
                <w:color w:val="auto"/>
                <w:szCs w:val="21"/>
              </w:rPr>
              <w:t>的；</w:t>
            </w:r>
          </w:p>
          <w:p w14:paraId="455E396B">
            <w:pPr>
              <w:ind w:firstLine="422"/>
              <w:rPr>
                <w:rFonts w:ascii="宋体"/>
                <w:color w:val="auto"/>
                <w:szCs w:val="21"/>
              </w:rPr>
            </w:pPr>
            <w:r>
              <w:rPr>
                <w:rFonts w:hint="eastAsia" w:ascii="宋体"/>
                <w:b/>
                <w:bCs/>
                <w:color w:val="auto"/>
                <w:szCs w:val="21"/>
              </w:rPr>
              <w:t>良好：</w:t>
            </w:r>
            <w:r>
              <w:rPr>
                <w:rFonts w:hint="eastAsia" w:ascii="宋体"/>
                <w:color w:val="auto"/>
                <w:szCs w:val="21"/>
              </w:rPr>
              <w:t>4分，</w:t>
            </w:r>
            <w:r>
              <w:rPr>
                <w:rFonts w:ascii="宋体"/>
                <w:color w:val="auto"/>
                <w:szCs w:val="21"/>
              </w:rPr>
              <w:t>指</w:t>
            </w:r>
            <w:r>
              <w:rPr>
                <w:rFonts w:hint="eastAsia" w:ascii="宋体"/>
                <w:color w:val="auto"/>
                <w:szCs w:val="21"/>
              </w:rPr>
              <w:t>工作效率较高，态度比较主动，较好</w:t>
            </w:r>
            <w:r>
              <w:rPr>
                <w:rFonts w:ascii="宋体"/>
                <w:color w:val="auto"/>
                <w:szCs w:val="21"/>
              </w:rPr>
              <w:t>完成工作任务</w:t>
            </w:r>
            <w:r>
              <w:rPr>
                <w:rFonts w:hint="eastAsia" w:ascii="宋体"/>
                <w:color w:val="auto"/>
                <w:szCs w:val="21"/>
              </w:rPr>
              <w:t>，</w:t>
            </w:r>
            <w:r>
              <w:rPr>
                <w:rFonts w:ascii="宋体"/>
                <w:color w:val="auto"/>
                <w:szCs w:val="21"/>
              </w:rPr>
              <w:t>对团队有</w:t>
            </w:r>
            <w:r>
              <w:rPr>
                <w:rFonts w:hint="eastAsia" w:ascii="宋体"/>
                <w:color w:val="auto"/>
                <w:szCs w:val="21"/>
              </w:rPr>
              <w:t>一定</w:t>
            </w:r>
            <w:r>
              <w:rPr>
                <w:rFonts w:ascii="宋体"/>
                <w:color w:val="auto"/>
                <w:szCs w:val="21"/>
              </w:rPr>
              <w:t>贡献，日常行为</w:t>
            </w:r>
            <w:r>
              <w:rPr>
                <w:rFonts w:hint="eastAsia" w:ascii="宋体"/>
                <w:color w:val="auto"/>
                <w:szCs w:val="21"/>
              </w:rPr>
              <w:t>表现较好的；</w:t>
            </w:r>
          </w:p>
          <w:p w14:paraId="219CE7FF">
            <w:pPr>
              <w:ind w:firstLine="422"/>
              <w:rPr>
                <w:rFonts w:ascii="宋体"/>
                <w:color w:val="auto"/>
                <w:szCs w:val="21"/>
              </w:rPr>
            </w:pPr>
            <w:r>
              <w:rPr>
                <w:rFonts w:hint="eastAsia" w:ascii="宋体"/>
                <w:b/>
                <w:bCs/>
                <w:color w:val="auto"/>
                <w:szCs w:val="21"/>
              </w:rPr>
              <w:t>合格：</w:t>
            </w:r>
            <w:r>
              <w:rPr>
                <w:rFonts w:hint="eastAsia" w:ascii="宋体"/>
                <w:color w:val="auto"/>
                <w:szCs w:val="21"/>
              </w:rPr>
              <w:t>3分，</w:t>
            </w:r>
            <w:r>
              <w:rPr>
                <w:rFonts w:ascii="宋体"/>
                <w:color w:val="auto"/>
                <w:szCs w:val="21"/>
              </w:rPr>
              <w:t>指</w:t>
            </w:r>
            <w:r>
              <w:rPr>
                <w:rFonts w:hint="eastAsia" w:ascii="宋体"/>
                <w:color w:val="auto"/>
                <w:szCs w:val="21"/>
              </w:rPr>
              <w:t>工作效率一般，态度合格，能够按时</w:t>
            </w:r>
            <w:r>
              <w:rPr>
                <w:rFonts w:ascii="宋体"/>
                <w:color w:val="auto"/>
                <w:szCs w:val="21"/>
              </w:rPr>
              <w:t>完成工作任务</w:t>
            </w:r>
            <w:r>
              <w:rPr>
                <w:rFonts w:hint="eastAsia" w:ascii="宋体"/>
                <w:color w:val="auto"/>
                <w:szCs w:val="21"/>
              </w:rPr>
              <w:t>的；</w:t>
            </w:r>
          </w:p>
          <w:p w14:paraId="203CE5EB">
            <w:pPr>
              <w:ind w:firstLine="422"/>
              <w:rPr>
                <w:rFonts w:ascii="宋体"/>
                <w:color w:val="auto"/>
                <w:szCs w:val="21"/>
              </w:rPr>
            </w:pPr>
            <w:r>
              <w:rPr>
                <w:rFonts w:hint="eastAsia" w:ascii="宋体"/>
                <w:b/>
                <w:bCs/>
                <w:color w:val="auto"/>
                <w:szCs w:val="21"/>
              </w:rPr>
              <w:t>较差/差：</w:t>
            </w:r>
            <w:r>
              <w:rPr>
                <w:rFonts w:hint="eastAsia" w:ascii="宋体"/>
                <w:color w:val="auto"/>
                <w:szCs w:val="21"/>
              </w:rPr>
              <w:t>0分，</w:t>
            </w:r>
            <w:r>
              <w:rPr>
                <w:rFonts w:ascii="宋体"/>
                <w:color w:val="auto"/>
                <w:szCs w:val="21"/>
              </w:rPr>
              <w:t>指</w:t>
            </w:r>
            <w:r>
              <w:rPr>
                <w:rFonts w:hint="eastAsia" w:ascii="宋体"/>
                <w:color w:val="auto"/>
                <w:szCs w:val="21"/>
              </w:rPr>
              <w:t>工作效率低下，态度懈怠散漫，不能按时</w:t>
            </w:r>
            <w:r>
              <w:rPr>
                <w:rFonts w:ascii="宋体"/>
                <w:color w:val="auto"/>
                <w:szCs w:val="21"/>
              </w:rPr>
              <w:t>完成工作任务</w:t>
            </w:r>
            <w:r>
              <w:rPr>
                <w:rFonts w:hint="eastAsia" w:ascii="宋体"/>
                <w:color w:val="auto"/>
                <w:szCs w:val="21"/>
              </w:rPr>
              <w:t>的。</w:t>
            </w:r>
          </w:p>
        </w:tc>
        <w:tc>
          <w:tcPr>
            <w:tcW w:w="2375" w:type="dxa"/>
            <w:tcBorders>
              <w:left w:val="single" w:color="auto" w:sz="4" w:space="0"/>
            </w:tcBorders>
            <w:vAlign w:val="center"/>
          </w:tcPr>
          <w:p w14:paraId="69743A1D">
            <w:pPr>
              <w:ind w:firstLine="420"/>
              <w:rPr>
                <w:rFonts w:ascii="宋体"/>
                <w:color w:val="auto"/>
                <w:szCs w:val="21"/>
              </w:rPr>
            </w:pPr>
            <w:r>
              <w:rPr>
                <w:rFonts w:hint="eastAsia" w:ascii="宋体"/>
                <w:color w:val="auto"/>
                <w:szCs w:val="21"/>
              </w:rPr>
              <w:t>评价为较差/差时，甲方有权要求乙方更换人员并赔偿实际损失。</w:t>
            </w:r>
          </w:p>
        </w:tc>
        <w:tc>
          <w:tcPr>
            <w:tcW w:w="775" w:type="dxa"/>
            <w:tcBorders>
              <w:left w:val="single" w:color="auto" w:sz="4" w:space="0"/>
            </w:tcBorders>
            <w:vAlign w:val="center"/>
          </w:tcPr>
          <w:p w14:paraId="4B7B8AD2">
            <w:pPr>
              <w:ind w:firstLine="420"/>
              <w:jc w:val="left"/>
              <w:rPr>
                <w:rFonts w:ascii="宋体"/>
                <w:color w:val="auto"/>
                <w:szCs w:val="21"/>
              </w:rPr>
            </w:pPr>
          </w:p>
        </w:tc>
        <w:tc>
          <w:tcPr>
            <w:tcW w:w="745" w:type="dxa"/>
            <w:tcBorders>
              <w:left w:val="single" w:color="auto" w:sz="4" w:space="0"/>
            </w:tcBorders>
            <w:vAlign w:val="center"/>
          </w:tcPr>
          <w:p w14:paraId="31C7F7B4">
            <w:pPr>
              <w:ind w:firstLine="420"/>
              <w:jc w:val="left"/>
              <w:rPr>
                <w:rFonts w:ascii="宋体"/>
                <w:color w:val="auto"/>
                <w:szCs w:val="21"/>
              </w:rPr>
            </w:pPr>
          </w:p>
        </w:tc>
      </w:tr>
      <w:tr w14:paraId="09A0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36" w:type="dxa"/>
            <w:gridSpan w:val="7"/>
            <w:vAlign w:val="center"/>
          </w:tcPr>
          <w:p w14:paraId="73021250">
            <w:pPr>
              <w:ind w:firstLine="420"/>
              <w:jc w:val="right"/>
              <w:rPr>
                <w:rFonts w:ascii="宋体"/>
                <w:color w:val="auto"/>
                <w:szCs w:val="21"/>
              </w:rPr>
            </w:pPr>
            <w:r>
              <w:rPr>
                <w:rFonts w:hint="eastAsia" w:ascii="宋体"/>
                <w:color w:val="auto"/>
                <w:szCs w:val="21"/>
              </w:rPr>
              <w:t>综合得分：</w:t>
            </w:r>
          </w:p>
        </w:tc>
        <w:tc>
          <w:tcPr>
            <w:tcW w:w="745" w:type="dxa"/>
            <w:tcBorders>
              <w:left w:val="single" w:color="auto" w:sz="4" w:space="0"/>
            </w:tcBorders>
          </w:tcPr>
          <w:p w14:paraId="4B03B6BD">
            <w:pPr>
              <w:ind w:firstLine="420"/>
              <w:jc w:val="left"/>
              <w:rPr>
                <w:rFonts w:ascii="宋体"/>
                <w:color w:val="auto"/>
                <w:szCs w:val="21"/>
              </w:rPr>
            </w:pPr>
          </w:p>
        </w:tc>
      </w:tr>
      <w:tr w14:paraId="30F9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3981" w:type="dxa"/>
            <w:gridSpan w:val="8"/>
          </w:tcPr>
          <w:p w14:paraId="5E8096A6">
            <w:pPr>
              <w:ind w:firstLine="420"/>
              <w:jc w:val="left"/>
              <w:rPr>
                <w:rFonts w:ascii="宋体"/>
                <w:color w:val="auto"/>
                <w:szCs w:val="21"/>
              </w:rPr>
            </w:pPr>
            <w:r>
              <w:rPr>
                <w:rFonts w:hint="eastAsia" w:ascii="宋体"/>
                <w:color w:val="auto"/>
                <w:szCs w:val="21"/>
              </w:rPr>
              <w:t>综合评价结果：</w:t>
            </w:r>
          </w:p>
          <w:p w14:paraId="7BAAC82E">
            <w:pPr>
              <w:ind w:firstLine="420"/>
              <w:jc w:val="left"/>
              <w:rPr>
                <w:rFonts w:ascii="宋体"/>
                <w:color w:val="auto"/>
                <w:szCs w:val="21"/>
              </w:rPr>
            </w:pPr>
            <w:r>
              <w:rPr>
                <w:rFonts w:hint="eastAsia" w:ascii="宋体"/>
                <w:color w:val="auto"/>
                <w:szCs w:val="21"/>
              </w:rPr>
              <w:t>（注：根据评价得分填写评价等级，填写完成后删除此内容）</w:t>
            </w:r>
          </w:p>
          <w:p w14:paraId="029A5341">
            <w:pPr>
              <w:ind w:firstLine="420"/>
              <w:jc w:val="left"/>
              <w:rPr>
                <w:rFonts w:ascii="宋体"/>
                <w:color w:val="auto"/>
                <w:szCs w:val="21"/>
              </w:rPr>
            </w:pPr>
            <w:r>
              <w:rPr>
                <w:rFonts w:hint="eastAsia" w:ascii="宋体"/>
                <w:color w:val="auto"/>
                <w:szCs w:val="21"/>
              </w:rPr>
              <w:t>综合评价描述：</w:t>
            </w:r>
          </w:p>
          <w:p w14:paraId="040400A2">
            <w:pPr>
              <w:ind w:firstLine="420"/>
              <w:jc w:val="left"/>
              <w:rPr>
                <w:rFonts w:ascii="宋体"/>
                <w:color w:val="auto"/>
                <w:szCs w:val="21"/>
              </w:rPr>
            </w:pPr>
            <w:r>
              <w:rPr>
                <w:rFonts w:hint="eastAsia" w:ascii="宋体"/>
                <w:color w:val="auto"/>
                <w:szCs w:val="21"/>
              </w:rPr>
              <w:t>（注：不满足服务要求的情况，需详细阐述不满足的内容及扣除合同违约金，填写完成后删除此内容）</w:t>
            </w:r>
          </w:p>
          <w:p w14:paraId="532E9817">
            <w:pPr>
              <w:ind w:firstLine="420"/>
              <w:jc w:val="left"/>
              <w:rPr>
                <w:rFonts w:ascii="宋体"/>
                <w:color w:val="auto"/>
                <w:szCs w:val="21"/>
              </w:rPr>
            </w:pPr>
          </w:p>
          <w:p w14:paraId="503AF14C">
            <w:pPr>
              <w:wordWrap w:val="0"/>
              <w:ind w:firstLine="420"/>
              <w:jc w:val="right"/>
              <w:rPr>
                <w:rFonts w:ascii="宋体"/>
                <w:color w:val="auto"/>
                <w:szCs w:val="21"/>
              </w:rPr>
            </w:pPr>
            <w:r>
              <w:rPr>
                <w:rFonts w:hint="eastAsia" w:ascii="宋体"/>
                <w:color w:val="auto"/>
                <w:szCs w:val="21"/>
              </w:rPr>
              <w:t xml:space="preserve">评价人：                                       </w:t>
            </w:r>
          </w:p>
        </w:tc>
      </w:tr>
    </w:tbl>
    <w:p w14:paraId="02D3B5D6">
      <w:pPr>
        <w:spacing w:line="600" w:lineRule="exact"/>
        <w:ind w:firstLine="420"/>
        <w:rPr>
          <w:rFonts w:cs="Times New Roman"/>
          <w:color w:val="auto"/>
          <w:szCs w:val="21"/>
        </w:rPr>
      </w:pPr>
      <w:r>
        <w:rPr>
          <w:rFonts w:cs="Times New Roman"/>
          <w:color w:val="auto"/>
          <w:szCs w:val="21"/>
        </w:rPr>
        <w:t>注：该《服务水平协议（SLA）》无需填写，仅需供应商</w:t>
      </w:r>
      <w:r>
        <w:rPr>
          <w:rFonts w:hint="eastAsia" w:cs="Times New Roman"/>
          <w:color w:val="auto"/>
          <w:szCs w:val="21"/>
        </w:rPr>
        <w:t>响应人</w:t>
      </w:r>
      <w:r>
        <w:rPr>
          <w:rFonts w:cs="Times New Roman"/>
          <w:color w:val="auto"/>
          <w:szCs w:val="21"/>
        </w:rPr>
        <w:t>认可、承认此协议内容并加盖公章。</w:t>
      </w:r>
    </w:p>
    <w:p w14:paraId="7FC3D9AA">
      <w:pPr>
        <w:ind w:firstLine="420"/>
        <w:rPr>
          <w:color w:val="auto"/>
        </w:rPr>
      </w:pPr>
    </w:p>
    <w:p w14:paraId="5571A7B1">
      <w:pPr>
        <w:ind w:firstLine="420"/>
        <w:rPr>
          <w:color w:val="auto"/>
        </w:rPr>
        <w:sectPr>
          <w:pgSz w:w="16838" w:h="11906" w:orient="landscape"/>
          <w:pgMar w:top="1803" w:right="1440" w:bottom="1800" w:left="1440" w:header="851" w:footer="992" w:gutter="0"/>
          <w:pgNumType w:fmt="decimal"/>
          <w:cols w:space="425" w:num="1"/>
          <w:docGrid w:type="lines" w:linePitch="312" w:charSpace="0"/>
        </w:sectPr>
      </w:pPr>
    </w:p>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14:paraId="7D4E3C23">
      <w:pPr>
        <w:pStyle w:val="59"/>
        <w:rPr>
          <w:rFonts w:hint="default"/>
          <w:color w:val="auto"/>
          <w:lang w:val="zh-CN"/>
        </w:rPr>
      </w:pPr>
      <w:r>
        <w:rPr>
          <w:color w:val="auto"/>
          <w:lang w:val="zh-CN"/>
        </w:rPr>
        <w:t>（</w:t>
      </w:r>
      <w:r>
        <w:rPr>
          <w:color w:val="auto"/>
        </w:rPr>
        <w:t>8</w:t>
      </w:r>
      <w:r>
        <w:rPr>
          <w:color w:val="auto"/>
          <w:lang w:val="zh-CN"/>
        </w:rPr>
        <w:t>）</w:t>
      </w:r>
      <w:r>
        <w:rPr>
          <w:color w:val="auto"/>
        </w:rPr>
        <w:t>服务连续性预案</w:t>
      </w:r>
    </w:p>
    <w:p w14:paraId="24BB28F0">
      <w:pPr>
        <w:ind w:firstLine="420"/>
        <w:rPr>
          <w:color w:val="auto"/>
        </w:rPr>
      </w:pPr>
    </w:p>
    <w:p w14:paraId="00FB37BB">
      <w:pPr>
        <w:ind w:firstLine="420"/>
        <w:rPr>
          <w:color w:val="auto"/>
        </w:rPr>
      </w:pPr>
    </w:p>
    <w:p w14:paraId="7400C4CA">
      <w:pPr>
        <w:ind w:firstLine="420"/>
        <w:rPr>
          <w:color w:val="auto"/>
        </w:rPr>
        <w:sectPr>
          <w:pgSz w:w="11906" w:h="16838"/>
          <w:pgMar w:top="1440" w:right="1800" w:bottom="1440" w:left="1803" w:header="851" w:footer="992" w:gutter="0"/>
          <w:pgNumType w:fmt="decimal"/>
          <w:cols w:space="425" w:num="1"/>
          <w:docGrid w:type="lines" w:linePitch="312" w:charSpace="0"/>
        </w:sectPr>
      </w:pPr>
    </w:p>
    <w:p w14:paraId="42D0D101">
      <w:pPr>
        <w:pStyle w:val="59"/>
        <w:rPr>
          <w:rFonts w:hint="default"/>
          <w:color w:val="auto"/>
          <w:lang w:val="zh-CN"/>
        </w:rPr>
      </w:pPr>
      <w:r>
        <w:rPr>
          <w:color w:val="auto"/>
          <w:lang w:val="zh-CN"/>
        </w:rPr>
        <w:t>（</w:t>
      </w:r>
      <w:r>
        <w:rPr>
          <w:color w:val="auto"/>
        </w:rPr>
        <w:t>9</w:t>
      </w:r>
      <w:r>
        <w:rPr>
          <w:color w:val="auto"/>
          <w:lang w:val="zh-CN"/>
        </w:rPr>
        <w:t>）</w:t>
      </w:r>
      <w:r>
        <w:rPr>
          <w:color w:val="auto"/>
        </w:rPr>
        <w:t>项目实施方案</w:t>
      </w:r>
    </w:p>
    <w:p w14:paraId="6612BC45">
      <w:pPr>
        <w:ind w:firstLine="420"/>
        <w:rPr>
          <w:color w:val="auto"/>
        </w:rPr>
      </w:pPr>
    </w:p>
    <w:p w14:paraId="33997D70">
      <w:pPr>
        <w:ind w:firstLine="420"/>
        <w:rPr>
          <w:color w:val="auto"/>
        </w:rPr>
      </w:pPr>
    </w:p>
    <w:p w14:paraId="13206C4D">
      <w:pPr>
        <w:ind w:firstLine="420"/>
        <w:rPr>
          <w:color w:val="auto"/>
        </w:rPr>
        <w:sectPr>
          <w:pgSz w:w="11906" w:h="16838"/>
          <w:pgMar w:top="1440" w:right="1800" w:bottom="1440" w:left="1803" w:header="851" w:footer="992" w:gutter="0"/>
          <w:pgNumType w:fmt="decimal"/>
          <w:cols w:space="425" w:num="1"/>
          <w:docGrid w:type="lines" w:linePitch="312" w:charSpace="0"/>
        </w:sectPr>
      </w:pPr>
    </w:p>
    <w:p w14:paraId="7CA09682">
      <w:pPr>
        <w:pStyle w:val="59"/>
        <w:rPr>
          <w:rFonts w:hint="default"/>
          <w:color w:val="auto"/>
        </w:rPr>
      </w:pPr>
      <w:r>
        <w:rPr>
          <w:color w:val="auto"/>
        </w:rPr>
        <w:t>（10）其他资料（如有）</w:t>
      </w:r>
    </w:p>
    <w:p w14:paraId="471D3626">
      <w:pPr>
        <w:pStyle w:val="56"/>
        <w:rPr>
          <w:color w:val="auto"/>
        </w:rPr>
      </w:pPr>
      <w:r>
        <w:rPr>
          <w:color w:val="auto"/>
        </w:rPr>
        <w:t>[如有相关补充材料，请在此处提供并签章。如无补充材料，则直接签章即可]</w:t>
      </w:r>
    </w:p>
    <w:p w14:paraId="14B4844A">
      <w:pPr>
        <w:ind w:firstLine="420"/>
        <w:rPr>
          <w:color w:val="auto"/>
        </w:rPr>
      </w:pPr>
    </w:p>
    <w:sectPr>
      <w:pgSz w:w="11906" w:h="16838"/>
      <w:pgMar w:top="1440" w:right="1800" w:bottom="1440" w:left="1803"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1D042">
    <w:pPr>
      <w:tabs>
        <w:tab w:val="center" w:pos="4153"/>
        <w:tab w:val="right" w:pos="8306"/>
      </w:tabs>
      <w:ind w:firstLine="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C5F99C">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21C5F99C">
                    <w:pPr>
                      <w:ind w:firstLine="4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0F09C">
    <w:pPr>
      <w:pStyle w:val="14"/>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30910" cy="333375"/>
              <wp:effectExtent l="0" t="0" r="0" b="0"/>
              <wp:wrapNone/>
              <wp:docPr id="8" name="文本框 8"/>
              <wp:cNvGraphicFramePr/>
              <a:graphic xmlns:a="http://schemas.openxmlformats.org/drawingml/2006/main">
                <a:graphicData uri="http://schemas.microsoft.com/office/word/2010/wordprocessingShape">
                  <wps:wsp>
                    <wps:cNvSpPr/>
                    <wps:spPr>
                      <a:xfrm>
                        <a:off x="0" y="0"/>
                        <a:ext cx="931068" cy="333077"/>
                      </a:xfrm>
                      <a:prstGeom prst="rect">
                        <a:avLst/>
                      </a:prstGeom>
                      <a:noFill/>
                      <a:ln w="6350" cap="flat" cmpd="sng">
                        <a:noFill/>
                        <a:prstDash val="solid"/>
                        <a:round/>
                      </a:ln>
                    </wps:spPr>
                    <wps:txbx>
                      <w:txbxContent>
                        <w:p w14:paraId="5A920BC6">
                          <w:pPr>
                            <w:pStyle w:val="14"/>
                            <w:ind w:firstLine="480"/>
                          </w:pPr>
                          <w:r>
                            <w:t xml:space="preserve">— </w:t>
                          </w:r>
                          <w:r>
                            <w:fldChar w:fldCharType="begin"/>
                          </w:r>
                          <w:r>
                            <w:instrText xml:space="preserve"> PAGE  \* MERGEFORMAT </w:instrText>
                          </w:r>
                          <w:r>
                            <w:fldChar w:fldCharType="separate"/>
                          </w:r>
                          <w:r>
                            <w:t>- 1 -</w:t>
                          </w:r>
                          <w:r>
                            <w:fldChar w:fldCharType="end"/>
                          </w:r>
                          <w:r>
                            <w:t xml:space="preserve"> —</w:t>
                          </w:r>
                        </w:p>
                      </w:txbxContent>
                    </wps:txbx>
                    <wps:bodyPr vert="horz" wrap="none" lIns="0" tIns="0" rIns="0" bIns="0" anchor="t" anchorCtr="0">
                      <a:spAutoFit/>
                    </wps:bodyPr>
                  </wps:wsp>
                </a:graphicData>
              </a:graphic>
            </wp:anchor>
          </w:drawing>
        </mc:Choice>
        <mc:Fallback>
          <w:pict>
            <v:rect id="文本框 8" o:spid="_x0000_s1026" o:spt="1" style="position:absolute;left:0pt;margin-top:0pt;height:26.25pt;width:73.3pt;mso-position-horizontal:center;mso-position-horizontal-relative:margin;mso-wrap-style:none;z-index:251660288;mso-width-relative:page;mso-height-relative:page;" filled="f" stroked="f" coordsize="21600,21600" o:gfxdata="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KOe5rYAAAABAEAAA8AAAAAAAAAAQAgAAAAIgAAAGRycy9kb3ducmV2&#10;LnhtbFBLAQIUABQAAAAIAIdO4kDLPiIZ/AEAAOgDAAAOAAAAAAAAAAEAIAAAACcBAABkcnMvZTJv&#10;RG9jLnhtbFBLBQYAAAAABgAGAFkBAACVBQAAAAA=&#10;">
              <v:fill on="f" focussize="0,0"/>
              <v:stroke on="f" weight="0.5pt" joinstyle="round"/>
              <v:imagedata o:title=""/>
              <o:lock v:ext="edit" aspectratio="f"/>
              <v:textbox inset="0mm,0mm,0mm,0mm" style="mso-fit-shape-to-text:t;">
                <w:txbxContent>
                  <w:p w14:paraId="5A920BC6">
                    <w:pPr>
                      <w:pStyle w:val="14"/>
                      <w:ind w:firstLine="480"/>
                    </w:pPr>
                    <w:r>
                      <w:t xml:space="preserve">— </w:t>
                    </w:r>
                    <w:r>
                      <w:fldChar w:fldCharType="begin"/>
                    </w:r>
                    <w:r>
                      <w:instrText xml:space="preserve"> PAGE  \* MERGEFORMAT </w:instrText>
                    </w:r>
                    <w:r>
                      <w:fldChar w:fldCharType="separate"/>
                    </w:r>
                    <w:r>
                      <w:t>- 1 -</w:t>
                    </w:r>
                    <w:r>
                      <w:fldChar w:fldCharType="end"/>
                    </w:r>
                    <w: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FA99C">
    <w:pPr>
      <w:pStyle w:val="14"/>
      <w:framePr w:wrap="around" w:vAnchor="text" w:hAnchor="margin" w:xAlign="center" w:y="1"/>
      <w:ind w:firstLine="360"/>
      <w:rPr>
        <w:rStyle w:val="23"/>
      </w:rPr>
    </w:pPr>
    <w:r>
      <w:rPr>
        <w:rStyle w:val="23"/>
      </w:rPr>
      <w:fldChar w:fldCharType="begin"/>
    </w:r>
    <w:r>
      <w:rPr>
        <w:rStyle w:val="23"/>
      </w:rPr>
      <w:instrText xml:space="preserve">PAGE  </w:instrText>
    </w:r>
    <w:r>
      <w:fldChar w:fldCharType="separate"/>
    </w:r>
    <w:r>
      <w:t xml:space="preserve"> </w:t>
    </w:r>
    <w:r>
      <w:fldChar w:fldCharType="end"/>
    </w:r>
  </w:p>
  <w:p w14:paraId="23EAC820">
    <w:pPr>
      <w:pStyle w:val="14"/>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9257">
    <w:pPr>
      <w:ind w:firstLine="360"/>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r>
      <w:rPr>
        <w:sz w:val="18"/>
        <w:szCs w:val="18"/>
        <w:lang w:val="zh-CN"/>
      </w:rPr>
      <w:t xml:space="preserve">/ </w:t>
    </w:r>
    <w:r>
      <w:rPr>
        <w:sz w:val="18"/>
        <w:szCs w:val="18"/>
      </w:rPr>
      <w:fldChar w:fldCharType="begin"/>
    </w:r>
    <w:r>
      <w:rPr>
        <w:sz w:val="18"/>
        <w:szCs w:val="18"/>
      </w:rPr>
      <w:instrText xml:space="preserve"> NUMPAGES  </w:instrText>
    </w:r>
    <w:r>
      <w:rPr>
        <w:sz w:val="18"/>
        <w:szCs w:val="18"/>
      </w:rPr>
      <w:fldChar w:fldCharType="separate"/>
    </w:r>
    <w:r>
      <w:rPr>
        <w:sz w:val="18"/>
        <w:szCs w:val="18"/>
      </w:rPr>
      <w:t>30</w:t>
    </w:r>
    <w:r>
      <w:rPr>
        <w:sz w:val="18"/>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BEB6A">
    <w:pPr>
      <w:pStyle w:val="14"/>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838200" cy="262890"/>
              <wp:effectExtent l="0" t="0" r="0" b="0"/>
              <wp:wrapNone/>
              <wp:docPr id="10" name="文本框 10"/>
              <wp:cNvGraphicFramePr/>
              <a:graphic xmlns:a="http://schemas.openxmlformats.org/drawingml/2006/main">
                <a:graphicData uri="http://schemas.microsoft.com/office/word/2010/wordprocessingShape">
                  <wps:wsp>
                    <wps:cNvSpPr/>
                    <wps:spPr>
                      <a:xfrm>
                        <a:off x="0" y="0"/>
                        <a:ext cx="838200" cy="262867"/>
                      </a:xfrm>
                      <a:prstGeom prst="rect">
                        <a:avLst/>
                      </a:prstGeom>
                      <a:noFill/>
                      <a:ln w="6350" cap="flat" cmpd="sng">
                        <a:noFill/>
                        <a:prstDash val="solid"/>
                        <a:round/>
                      </a:ln>
                    </wps:spPr>
                    <wps:txbx>
                      <w:txbxContent>
                        <w:p w14:paraId="538C270A">
                          <w:pPr>
                            <w:pStyle w:val="14"/>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r>
                            <w:rPr>
                              <w:sz w:val="24"/>
                              <w:szCs w:val="24"/>
                            </w:rPr>
                            <w:t xml:space="preserve"> —</w:t>
                          </w:r>
                        </w:p>
                      </w:txbxContent>
                    </wps:txbx>
                    <wps:bodyPr vert="horz" wrap="none" lIns="0" tIns="0" rIns="0" bIns="0" anchor="t" anchorCtr="0">
                      <a:spAutoFit/>
                    </wps:bodyPr>
                  </wps:wsp>
                </a:graphicData>
              </a:graphic>
            </wp:anchor>
          </w:drawing>
        </mc:Choice>
        <mc:Fallback>
          <w:pict>
            <v:rect id="文本框 10" o:spid="_x0000_s1026" o:spt="1" style="position:absolute;left:0pt;margin-top:0pt;height:20.7pt;width:66pt;mso-position-horizontal:center;mso-position-horizontal-relative:margin;mso-wrap-style:none;z-index:251661312;mso-width-relative:page;mso-height-relative:page;" filled="f" stroked="f" coordsize="21600,21600" o:gfxdata="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gYAI11wAAAAQBAAAPAAAAAAAAAAEAIAAAACIAAABkcnMvZG93bnJldi54&#10;bWxQSwECFAAUAAAACACHTuJAG9HFmvsBAADqAwAADgAAAAAAAAABACAAAAAmAQAAZHJzL2Uyb0Rv&#10;Yy54bWxQSwUGAAAAAAYABgBZAQAAkwUAAAAA&#10;">
              <v:fill on="f" focussize="0,0"/>
              <v:stroke on="f" weight="0.5pt" joinstyle="round"/>
              <v:imagedata o:title=""/>
              <o:lock v:ext="edit" aspectratio="f"/>
              <v:textbox inset="0mm,0mm,0mm,0mm" style="mso-fit-shape-to-text:t;">
                <w:txbxContent>
                  <w:p w14:paraId="538C270A">
                    <w:pPr>
                      <w:pStyle w:val="14"/>
                      <w:ind w:firstLine="48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- 1 -</w:t>
                    </w:r>
                    <w:r>
                      <w:rPr>
                        <w:sz w:val="24"/>
                        <w:szCs w:val="24"/>
                      </w:rPr>
                      <w:fldChar w:fldCharType="end"/>
                    </w:r>
                    <w:r>
                      <w:rPr>
                        <w:sz w:val="24"/>
                        <w:szCs w:val="24"/>
                      </w:rPr>
                      <w:t xml:space="preserve"> —</w:t>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2F0A1">
    <w:pPr>
      <w:tabs>
        <w:tab w:val="center" w:pos="4153"/>
        <w:tab w:val="right" w:pos="8306"/>
      </w:tabs>
      <w:ind w:firstLine="42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077A1">
                          <w:pPr>
                            <w:pStyle w:val="14"/>
                            <w:ind w:firstLine="560"/>
                            <w:rPr>
                              <w:rFonts w:hint="eastAsia" w:ascii="宋体" w:hAnsi="宋体"/>
                              <w:sz w:val="28"/>
                            </w:rPr>
                          </w:pPr>
                          <w:r>
                            <w:rPr>
                              <w:rFonts w:hint="eastAsia" w:ascii="宋体" w:hAnsi="宋体"/>
                              <w:sz w:val="28"/>
                            </w:rPr>
                            <w:t xml:space="preserve">—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- 1 -</w:t>
                          </w:r>
                          <w:r>
                            <w:rPr>
                              <w:rFonts w:hint="eastAsia" w:ascii="宋体" w:hAnsi="宋体"/>
                              <w:sz w:val="28"/>
                            </w:rPr>
                            <w:fldChar w:fldCharType="end"/>
                          </w:r>
                          <w:r>
                            <w:rPr>
                              <w:rFonts w:hint="eastAsia" w:ascii="宋体" w:hAnsi="宋体"/>
                              <w:sz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9A077A1">
                    <w:pPr>
                      <w:pStyle w:val="14"/>
                      <w:ind w:firstLine="560"/>
                      <w:rPr>
                        <w:rFonts w:hint="eastAsia" w:ascii="宋体" w:hAnsi="宋体"/>
                        <w:sz w:val="28"/>
                      </w:rPr>
                    </w:pPr>
                    <w:r>
                      <w:rPr>
                        <w:rFonts w:hint="eastAsia" w:ascii="宋体" w:hAnsi="宋体"/>
                        <w:sz w:val="28"/>
                      </w:rPr>
                      <w:t xml:space="preserve">—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- 1 -</w:t>
                    </w:r>
                    <w:r>
                      <w:rPr>
                        <w:rFonts w:hint="eastAsia" w:ascii="宋体" w:hAnsi="宋体"/>
                        <w:sz w:val="28"/>
                      </w:rPr>
                      <w:fldChar w:fldCharType="end"/>
                    </w:r>
                    <w:r>
                      <w:rPr>
                        <w:rFonts w:hint="eastAsia" w:ascii="宋体" w:hAnsi="宋体"/>
                        <w:sz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4B92509">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4B92509">
                    <w:pPr>
                      <w:ind w:firstLine="42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20882">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87ACA">
    <w:pPr>
      <w:pStyle w:val="15"/>
      <w:pBdr>
        <w:bottom w:val="none" w:color="auto" w:sz="0" w:space="1"/>
      </w:pBdr>
      <w:tabs>
        <w:tab w:val="left" w:pos="2452"/>
        <w:tab w:val="clear" w:pos="4153"/>
        <w:tab w:val="clear" w:pos="8306"/>
      </w:tabs>
      <w:ind w:firstLine="0" w:firstLineChars="0"/>
      <w:jc w:val="both"/>
      <w:rPr>
        <w:rFonts w:ascii="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4634">
    <w:pPr>
      <w:pStyle w:val="15"/>
      <w:ind w:firstLine="360"/>
      <w:jc w:val="left"/>
    </w:pPr>
    <w:r>
      <w:rPr>
        <w:rFonts w:hint="eastAsia" w:ascii="宋体"/>
      </w:rPr>
      <w:t>重庆三峡银行XX系统（XX项目）外包开发合同商业秘密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isLgl/>
      <w:lvlText w:val=""/>
      <w:legacy w:legacy="1" w:legacySpace="0" w:legacyIndent="360"/>
      <w:lvlJc w:val="left"/>
      <w:pPr>
        <w:ind w:left="1080" w:hanging="360"/>
      </w:pPr>
      <w:rPr>
        <w:rFonts w:hint="default" w:ascii="Symbol" w:hAnsi="Symbol"/>
      </w:rPr>
    </w:lvl>
  </w:abstractNum>
  <w:abstractNum w:abstractNumId="1">
    <w:nsid w:val="00000007"/>
    <w:multiLevelType w:val="multilevel"/>
    <w:tmpl w:val="0000000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F79FC"/>
    <w:multiLevelType w:val="multilevel"/>
    <w:tmpl w:val="000F79FC"/>
    <w:lvl w:ilvl="0" w:tentative="0">
      <w:start w:val="1"/>
      <w:numFmt w:val="bullet"/>
      <w:lvlText w:val=""/>
      <w:lvlJc w:val="left"/>
      <w:pPr>
        <w:ind w:left="900" w:hanging="420"/>
      </w:pPr>
      <w:rPr>
        <w:rFonts w:hint="default" w:ascii="Symbol" w:hAnsi="Symbol"/>
        <w:color w:val="17365D"/>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6B30743"/>
    <w:multiLevelType w:val="multilevel"/>
    <w:tmpl w:val="16B30743"/>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1D5C0F16"/>
    <w:multiLevelType w:val="singleLevel"/>
    <w:tmpl w:val="1D5C0F16"/>
    <w:lvl w:ilvl="0" w:tentative="0">
      <w:start w:val="1"/>
      <w:numFmt w:val="decimal"/>
      <w:isLgl/>
      <w:lvlText w:val="%1."/>
      <w:legacy w:legacy="1" w:legacySpace="0" w:legacyIndent="360"/>
      <w:lvlJc w:val="left"/>
      <w:pPr>
        <w:ind w:left="1440" w:hanging="360"/>
      </w:pPr>
    </w:lvl>
  </w:abstractNum>
  <w:abstractNum w:abstractNumId="6">
    <w:nsid w:val="42480766"/>
    <w:multiLevelType w:val="multilevel"/>
    <w:tmpl w:val="42480766"/>
    <w:lvl w:ilvl="0" w:tentative="0">
      <w:start w:val="1"/>
      <w:numFmt w:val="bullet"/>
      <w:lvlText w:val=""/>
      <w:lvlJc w:val="left"/>
      <w:pPr>
        <w:ind w:left="1129" w:hanging="420"/>
      </w:pPr>
      <w:rPr>
        <w:rFonts w:hint="default" w:ascii="Wingdings" w:hAnsi="Wingdings"/>
      </w:rPr>
    </w:lvl>
    <w:lvl w:ilvl="1" w:tentative="0">
      <w:start w:val="1"/>
      <w:numFmt w:val="bullet"/>
      <w:lvlText w:val=""/>
      <w:lvlJc w:val="left"/>
      <w:pPr>
        <w:ind w:left="1549" w:hanging="420"/>
      </w:pPr>
      <w:rPr>
        <w:rFonts w:hint="default" w:ascii="Wingdings" w:hAnsi="Wingdings"/>
      </w:rPr>
    </w:lvl>
    <w:lvl w:ilvl="2" w:tentative="0">
      <w:start w:val="1"/>
      <w:numFmt w:val="bullet"/>
      <w:lvlText w:val=""/>
      <w:lvlJc w:val="left"/>
      <w:pPr>
        <w:ind w:left="1969" w:hanging="420"/>
      </w:pPr>
      <w:rPr>
        <w:rFonts w:hint="default" w:ascii="Wingdings" w:hAnsi="Wingdings"/>
      </w:rPr>
    </w:lvl>
    <w:lvl w:ilvl="3" w:tentative="0">
      <w:start w:val="1"/>
      <w:numFmt w:val="bullet"/>
      <w:lvlText w:val=""/>
      <w:lvlJc w:val="left"/>
      <w:pPr>
        <w:ind w:left="2389" w:hanging="420"/>
      </w:pPr>
      <w:rPr>
        <w:rFonts w:hint="default" w:ascii="Wingdings" w:hAnsi="Wingdings"/>
      </w:rPr>
    </w:lvl>
    <w:lvl w:ilvl="4" w:tentative="0">
      <w:start w:val="1"/>
      <w:numFmt w:val="bullet"/>
      <w:lvlText w:val=""/>
      <w:lvlJc w:val="left"/>
      <w:pPr>
        <w:ind w:left="2809" w:hanging="420"/>
      </w:pPr>
      <w:rPr>
        <w:rFonts w:hint="default" w:ascii="Wingdings" w:hAnsi="Wingdings"/>
      </w:rPr>
    </w:lvl>
    <w:lvl w:ilvl="5" w:tentative="0">
      <w:start w:val="1"/>
      <w:numFmt w:val="bullet"/>
      <w:lvlText w:val=""/>
      <w:lvlJc w:val="left"/>
      <w:pPr>
        <w:ind w:left="3229" w:hanging="420"/>
      </w:pPr>
      <w:rPr>
        <w:rFonts w:hint="default" w:ascii="Wingdings" w:hAnsi="Wingdings"/>
      </w:rPr>
    </w:lvl>
    <w:lvl w:ilvl="6" w:tentative="0">
      <w:start w:val="1"/>
      <w:numFmt w:val="bullet"/>
      <w:lvlText w:val=""/>
      <w:lvlJc w:val="left"/>
      <w:pPr>
        <w:ind w:left="3649" w:hanging="420"/>
      </w:pPr>
      <w:rPr>
        <w:rFonts w:hint="default" w:ascii="Wingdings" w:hAnsi="Wingdings"/>
      </w:rPr>
    </w:lvl>
    <w:lvl w:ilvl="7" w:tentative="0">
      <w:start w:val="1"/>
      <w:numFmt w:val="bullet"/>
      <w:lvlText w:val=""/>
      <w:lvlJc w:val="left"/>
      <w:pPr>
        <w:ind w:left="4069" w:hanging="420"/>
      </w:pPr>
      <w:rPr>
        <w:rFonts w:hint="default" w:ascii="Wingdings" w:hAnsi="Wingdings"/>
      </w:rPr>
    </w:lvl>
    <w:lvl w:ilvl="8" w:tentative="0">
      <w:start w:val="1"/>
      <w:numFmt w:val="bullet"/>
      <w:lvlText w:val=""/>
      <w:lvlJc w:val="left"/>
      <w:pPr>
        <w:ind w:left="4489" w:hanging="420"/>
      </w:pPr>
      <w:rPr>
        <w:rFonts w:hint="default" w:ascii="Wingdings" w:hAnsi="Wingdings"/>
      </w:rPr>
    </w:lvl>
  </w:abstractNum>
  <w:abstractNum w:abstractNumId="7">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7"/>
  </w:num>
  <w:num w:numId="2">
    <w:abstractNumId w:val="4"/>
  </w:num>
  <w:num w:numId="3">
    <w:abstractNumId w:val="2"/>
  </w:num>
  <w:num w:numId="4">
    <w:abstractNumId w:val="1"/>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MWJjYjc3Y2ZiMDQ2Y2ZlNDU5NjM1ZGQ5OWI4YTkifQ=="/>
  </w:docVars>
  <w:rsids>
    <w:rsidRoot w:val="37B660B6"/>
    <w:rsid w:val="0002055C"/>
    <w:rsid w:val="00022AE7"/>
    <w:rsid w:val="00064143"/>
    <w:rsid w:val="00064D8D"/>
    <w:rsid w:val="00067361"/>
    <w:rsid w:val="00071CA7"/>
    <w:rsid w:val="000757F9"/>
    <w:rsid w:val="000A0EB0"/>
    <w:rsid w:val="000B6D9D"/>
    <w:rsid w:val="000C1376"/>
    <w:rsid w:val="000C433E"/>
    <w:rsid w:val="000D14CD"/>
    <w:rsid w:val="000D41E2"/>
    <w:rsid w:val="000E5E43"/>
    <w:rsid w:val="000F41D7"/>
    <w:rsid w:val="001079BA"/>
    <w:rsid w:val="001127B8"/>
    <w:rsid w:val="00112C87"/>
    <w:rsid w:val="0012138F"/>
    <w:rsid w:val="0012215A"/>
    <w:rsid w:val="00133CF6"/>
    <w:rsid w:val="0014055C"/>
    <w:rsid w:val="00145F5C"/>
    <w:rsid w:val="00151C9B"/>
    <w:rsid w:val="00154C5F"/>
    <w:rsid w:val="001569BC"/>
    <w:rsid w:val="0015727C"/>
    <w:rsid w:val="0016699C"/>
    <w:rsid w:val="00174080"/>
    <w:rsid w:val="001743CF"/>
    <w:rsid w:val="00184E25"/>
    <w:rsid w:val="001A5746"/>
    <w:rsid w:val="001A6B60"/>
    <w:rsid w:val="001A7E8B"/>
    <w:rsid w:val="001C1764"/>
    <w:rsid w:val="001F1EE3"/>
    <w:rsid w:val="00204B5F"/>
    <w:rsid w:val="002105E7"/>
    <w:rsid w:val="00230F30"/>
    <w:rsid w:val="00243B4B"/>
    <w:rsid w:val="00257EC5"/>
    <w:rsid w:val="00260869"/>
    <w:rsid w:val="002613C6"/>
    <w:rsid w:val="00266A4F"/>
    <w:rsid w:val="00267A5B"/>
    <w:rsid w:val="0027404F"/>
    <w:rsid w:val="00282155"/>
    <w:rsid w:val="002851E1"/>
    <w:rsid w:val="00295F30"/>
    <w:rsid w:val="002973A8"/>
    <w:rsid w:val="002C0BF6"/>
    <w:rsid w:val="002C6BF5"/>
    <w:rsid w:val="002D4220"/>
    <w:rsid w:val="002E1BAA"/>
    <w:rsid w:val="002E5839"/>
    <w:rsid w:val="002F6879"/>
    <w:rsid w:val="003051ED"/>
    <w:rsid w:val="00305EA7"/>
    <w:rsid w:val="003105C6"/>
    <w:rsid w:val="00330064"/>
    <w:rsid w:val="003346DB"/>
    <w:rsid w:val="00337843"/>
    <w:rsid w:val="00341820"/>
    <w:rsid w:val="00362D3B"/>
    <w:rsid w:val="00370826"/>
    <w:rsid w:val="00372B5F"/>
    <w:rsid w:val="003770A7"/>
    <w:rsid w:val="00380548"/>
    <w:rsid w:val="00381201"/>
    <w:rsid w:val="0038180D"/>
    <w:rsid w:val="00393F92"/>
    <w:rsid w:val="003A1EF5"/>
    <w:rsid w:val="003C6EBF"/>
    <w:rsid w:val="003D1FFC"/>
    <w:rsid w:val="003D2DE7"/>
    <w:rsid w:val="00402A2B"/>
    <w:rsid w:val="004336DD"/>
    <w:rsid w:val="00435620"/>
    <w:rsid w:val="0044321D"/>
    <w:rsid w:val="0044432E"/>
    <w:rsid w:val="004615F5"/>
    <w:rsid w:val="0046178D"/>
    <w:rsid w:val="0046685F"/>
    <w:rsid w:val="004761EC"/>
    <w:rsid w:val="00481166"/>
    <w:rsid w:val="00491A43"/>
    <w:rsid w:val="00495265"/>
    <w:rsid w:val="004A141D"/>
    <w:rsid w:val="004B42EB"/>
    <w:rsid w:val="004C5530"/>
    <w:rsid w:val="004E4D94"/>
    <w:rsid w:val="004F7444"/>
    <w:rsid w:val="00505EAD"/>
    <w:rsid w:val="00506BF2"/>
    <w:rsid w:val="00512A76"/>
    <w:rsid w:val="005216F3"/>
    <w:rsid w:val="00546473"/>
    <w:rsid w:val="005515F1"/>
    <w:rsid w:val="00570DBA"/>
    <w:rsid w:val="00581CB2"/>
    <w:rsid w:val="00582D45"/>
    <w:rsid w:val="005855CD"/>
    <w:rsid w:val="005B1637"/>
    <w:rsid w:val="005B35EF"/>
    <w:rsid w:val="005B55CD"/>
    <w:rsid w:val="005B5E21"/>
    <w:rsid w:val="005D203B"/>
    <w:rsid w:val="005D4209"/>
    <w:rsid w:val="005E23EE"/>
    <w:rsid w:val="005E482E"/>
    <w:rsid w:val="006014BD"/>
    <w:rsid w:val="006050E7"/>
    <w:rsid w:val="00625745"/>
    <w:rsid w:val="00630A1B"/>
    <w:rsid w:val="00640759"/>
    <w:rsid w:val="0065201F"/>
    <w:rsid w:val="00670D7A"/>
    <w:rsid w:val="0068219B"/>
    <w:rsid w:val="006861B7"/>
    <w:rsid w:val="006A16AE"/>
    <w:rsid w:val="006B346D"/>
    <w:rsid w:val="006C1A6A"/>
    <w:rsid w:val="006D01A6"/>
    <w:rsid w:val="006E08C4"/>
    <w:rsid w:val="00700537"/>
    <w:rsid w:val="00700915"/>
    <w:rsid w:val="00701F03"/>
    <w:rsid w:val="0070752A"/>
    <w:rsid w:val="00724B6A"/>
    <w:rsid w:val="00724DD9"/>
    <w:rsid w:val="00735C6D"/>
    <w:rsid w:val="00737C18"/>
    <w:rsid w:val="00741237"/>
    <w:rsid w:val="00742021"/>
    <w:rsid w:val="0075312F"/>
    <w:rsid w:val="0077520E"/>
    <w:rsid w:val="00784D08"/>
    <w:rsid w:val="007B5B06"/>
    <w:rsid w:val="007C2228"/>
    <w:rsid w:val="00802444"/>
    <w:rsid w:val="00810A0E"/>
    <w:rsid w:val="00813B54"/>
    <w:rsid w:val="00824B02"/>
    <w:rsid w:val="00830586"/>
    <w:rsid w:val="00867C54"/>
    <w:rsid w:val="00880255"/>
    <w:rsid w:val="00895790"/>
    <w:rsid w:val="00895E83"/>
    <w:rsid w:val="008A366D"/>
    <w:rsid w:val="008C0AB2"/>
    <w:rsid w:val="008C0B59"/>
    <w:rsid w:val="008C518A"/>
    <w:rsid w:val="008D32CC"/>
    <w:rsid w:val="008E586B"/>
    <w:rsid w:val="00900F98"/>
    <w:rsid w:val="00905F2C"/>
    <w:rsid w:val="009114BD"/>
    <w:rsid w:val="009209AD"/>
    <w:rsid w:val="00922A14"/>
    <w:rsid w:val="00934A46"/>
    <w:rsid w:val="00936C09"/>
    <w:rsid w:val="00945239"/>
    <w:rsid w:val="00945A81"/>
    <w:rsid w:val="0095072A"/>
    <w:rsid w:val="009624BD"/>
    <w:rsid w:val="00976EAF"/>
    <w:rsid w:val="0098590E"/>
    <w:rsid w:val="009931FC"/>
    <w:rsid w:val="009A7EDB"/>
    <w:rsid w:val="009B7136"/>
    <w:rsid w:val="009C4D15"/>
    <w:rsid w:val="009C4D99"/>
    <w:rsid w:val="009C610E"/>
    <w:rsid w:val="009E0EA3"/>
    <w:rsid w:val="009E34BD"/>
    <w:rsid w:val="00A112DF"/>
    <w:rsid w:val="00A14261"/>
    <w:rsid w:val="00A2660F"/>
    <w:rsid w:val="00A30DC1"/>
    <w:rsid w:val="00A35BA5"/>
    <w:rsid w:val="00A414EF"/>
    <w:rsid w:val="00A42228"/>
    <w:rsid w:val="00A46801"/>
    <w:rsid w:val="00A47B27"/>
    <w:rsid w:val="00A62861"/>
    <w:rsid w:val="00A70CAC"/>
    <w:rsid w:val="00A936E8"/>
    <w:rsid w:val="00AA1423"/>
    <w:rsid w:val="00AA37F9"/>
    <w:rsid w:val="00AA5AB0"/>
    <w:rsid w:val="00AB1C1A"/>
    <w:rsid w:val="00AB634D"/>
    <w:rsid w:val="00AC070B"/>
    <w:rsid w:val="00AC6D70"/>
    <w:rsid w:val="00AF1186"/>
    <w:rsid w:val="00AF7C53"/>
    <w:rsid w:val="00B152FD"/>
    <w:rsid w:val="00B171BF"/>
    <w:rsid w:val="00B30C2D"/>
    <w:rsid w:val="00B35BB5"/>
    <w:rsid w:val="00B367C5"/>
    <w:rsid w:val="00B40216"/>
    <w:rsid w:val="00B405C0"/>
    <w:rsid w:val="00B56187"/>
    <w:rsid w:val="00B61CFE"/>
    <w:rsid w:val="00B66451"/>
    <w:rsid w:val="00B84D94"/>
    <w:rsid w:val="00B86B4C"/>
    <w:rsid w:val="00BA4988"/>
    <w:rsid w:val="00BB3B7E"/>
    <w:rsid w:val="00BC2C49"/>
    <w:rsid w:val="00BE4AEE"/>
    <w:rsid w:val="00C447A8"/>
    <w:rsid w:val="00C614C2"/>
    <w:rsid w:val="00C64B00"/>
    <w:rsid w:val="00C66176"/>
    <w:rsid w:val="00C73C90"/>
    <w:rsid w:val="00C956B1"/>
    <w:rsid w:val="00C96A93"/>
    <w:rsid w:val="00CC043D"/>
    <w:rsid w:val="00CC08D2"/>
    <w:rsid w:val="00CD5436"/>
    <w:rsid w:val="00CF0EE3"/>
    <w:rsid w:val="00CF10DB"/>
    <w:rsid w:val="00D02983"/>
    <w:rsid w:val="00D310A6"/>
    <w:rsid w:val="00D36788"/>
    <w:rsid w:val="00D44867"/>
    <w:rsid w:val="00D63CCB"/>
    <w:rsid w:val="00D70504"/>
    <w:rsid w:val="00D77134"/>
    <w:rsid w:val="00D917AC"/>
    <w:rsid w:val="00DB7CE7"/>
    <w:rsid w:val="00DC653B"/>
    <w:rsid w:val="00DD3AC4"/>
    <w:rsid w:val="00DF07A7"/>
    <w:rsid w:val="00E25747"/>
    <w:rsid w:val="00E311B1"/>
    <w:rsid w:val="00E43E33"/>
    <w:rsid w:val="00E5318F"/>
    <w:rsid w:val="00E80919"/>
    <w:rsid w:val="00E85564"/>
    <w:rsid w:val="00E85D89"/>
    <w:rsid w:val="00E92EB6"/>
    <w:rsid w:val="00ED6044"/>
    <w:rsid w:val="00EF53DD"/>
    <w:rsid w:val="00F147F2"/>
    <w:rsid w:val="00F17FC4"/>
    <w:rsid w:val="00F23308"/>
    <w:rsid w:val="00F264F5"/>
    <w:rsid w:val="00F306F9"/>
    <w:rsid w:val="00F315DD"/>
    <w:rsid w:val="00F6557B"/>
    <w:rsid w:val="00F65A53"/>
    <w:rsid w:val="00F70394"/>
    <w:rsid w:val="00F771D8"/>
    <w:rsid w:val="00F77767"/>
    <w:rsid w:val="00FA1B63"/>
    <w:rsid w:val="00FB0C5C"/>
    <w:rsid w:val="00FD2E23"/>
    <w:rsid w:val="00FD6DB7"/>
    <w:rsid w:val="015F4DAB"/>
    <w:rsid w:val="01BD188F"/>
    <w:rsid w:val="01C6008B"/>
    <w:rsid w:val="01CB20B8"/>
    <w:rsid w:val="01EA6D3B"/>
    <w:rsid w:val="01F179F2"/>
    <w:rsid w:val="01F42B4F"/>
    <w:rsid w:val="0216489B"/>
    <w:rsid w:val="02287486"/>
    <w:rsid w:val="02637ACA"/>
    <w:rsid w:val="0281175E"/>
    <w:rsid w:val="02E121B3"/>
    <w:rsid w:val="02E312AA"/>
    <w:rsid w:val="02EF596E"/>
    <w:rsid w:val="03131CA6"/>
    <w:rsid w:val="03255BFF"/>
    <w:rsid w:val="033F57F7"/>
    <w:rsid w:val="03506580"/>
    <w:rsid w:val="03667CDC"/>
    <w:rsid w:val="03727414"/>
    <w:rsid w:val="03A604C6"/>
    <w:rsid w:val="03A70461"/>
    <w:rsid w:val="03C6665F"/>
    <w:rsid w:val="03D96DA4"/>
    <w:rsid w:val="03EE5607"/>
    <w:rsid w:val="04421433"/>
    <w:rsid w:val="04EB6A93"/>
    <w:rsid w:val="04EE596D"/>
    <w:rsid w:val="05101409"/>
    <w:rsid w:val="052B6FB4"/>
    <w:rsid w:val="053B214F"/>
    <w:rsid w:val="05A20F79"/>
    <w:rsid w:val="05B14F8B"/>
    <w:rsid w:val="05C818B8"/>
    <w:rsid w:val="05E517A7"/>
    <w:rsid w:val="05F65163"/>
    <w:rsid w:val="05FE7DFB"/>
    <w:rsid w:val="061060AF"/>
    <w:rsid w:val="06160B1E"/>
    <w:rsid w:val="06206168"/>
    <w:rsid w:val="06434952"/>
    <w:rsid w:val="06437D03"/>
    <w:rsid w:val="06674F75"/>
    <w:rsid w:val="06903CCC"/>
    <w:rsid w:val="06B13755"/>
    <w:rsid w:val="06E64108"/>
    <w:rsid w:val="0758079D"/>
    <w:rsid w:val="07C25DCB"/>
    <w:rsid w:val="084602A2"/>
    <w:rsid w:val="08633B80"/>
    <w:rsid w:val="086E1503"/>
    <w:rsid w:val="087406B4"/>
    <w:rsid w:val="08B71CBC"/>
    <w:rsid w:val="08F80C9F"/>
    <w:rsid w:val="092B0309"/>
    <w:rsid w:val="0944292D"/>
    <w:rsid w:val="09677ECA"/>
    <w:rsid w:val="09977B04"/>
    <w:rsid w:val="099C3ED5"/>
    <w:rsid w:val="09D34230"/>
    <w:rsid w:val="0A0E3BED"/>
    <w:rsid w:val="0ADB13B6"/>
    <w:rsid w:val="0B023186"/>
    <w:rsid w:val="0B2947E7"/>
    <w:rsid w:val="0B380048"/>
    <w:rsid w:val="0B4A7615"/>
    <w:rsid w:val="0B52713F"/>
    <w:rsid w:val="0B855B7E"/>
    <w:rsid w:val="0BA36C32"/>
    <w:rsid w:val="0BBB4532"/>
    <w:rsid w:val="0BD82880"/>
    <w:rsid w:val="0BDC4F59"/>
    <w:rsid w:val="0BF5465F"/>
    <w:rsid w:val="0C0836D9"/>
    <w:rsid w:val="0C224FC1"/>
    <w:rsid w:val="0C523489"/>
    <w:rsid w:val="0C7D3B59"/>
    <w:rsid w:val="0D1A04BD"/>
    <w:rsid w:val="0D30275D"/>
    <w:rsid w:val="0D9A7B19"/>
    <w:rsid w:val="0DC83BDC"/>
    <w:rsid w:val="0DF35855"/>
    <w:rsid w:val="0DFE793B"/>
    <w:rsid w:val="0E181F8C"/>
    <w:rsid w:val="0E387E55"/>
    <w:rsid w:val="0E765A96"/>
    <w:rsid w:val="0E8B6A76"/>
    <w:rsid w:val="0EBA66B5"/>
    <w:rsid w:val="0EE30E43"/>
    <w:rsid w:val="0EE829F7"/>
    <w:rsid w:val="0F3943A0"/>
    <w:rsid w:val="0F3C2093"/>
    <w:rsid w:val="0F457AEE"/>
    <w:rsid w:val="0F7557BE"/>
    <w:rsid w:val="0F9F084B"/>
    <w:rsid w:val="0FD171A3"/>
    <w:rsid w:val="0FDA7CFD"/>
    <w:rsid w:val="0FE73405"/>
    <w:rsid w:val="10AB4BCF"/>
    <w:rsid w:val="10B06C1A"/>
    <w:rsid w:val="10B6106B"/>
    <w:rsid w:val="10BA0B8E"/>
    <w:rsid w:val="10BA77FB"/>
    <w:rsid w:val="10CC6629"/>
    <w:rsid w:val="10D920F8"/>
    <w:rsid w:val="11136BC9"/>
    <w:rsid w:val="11177E66"/>
    <w:rsid w:val="113D5EFB"/>
    <w:rsid w:val="116A47D1"/>
    <w:rsid w:val="1188055B"/>
    <w:rsid w:val="118F44E5"/>
    <w:rsid w:val="11B37F09"/>
    <w:rsid w:val="11D1131F"/>
    <w:rsid w:val="11D47339"/>
    <w:rsid w:val="11FC2BE7"/>
    <w:rsid w:val="12074A4D"/>
    <w:rsid w:val="122F6C43"/>
    <w:rsid w:val="12380D43"/>
    <w:rsid w:val="12DB709D"/>
    <w:rsid w:val="131200EF"/>
    <w:rsid w:val="131577DB"/>
    <w:rsid w:val="131A61AF"/>
    <w:rsid w:val="131C7166"/>
    <w:rsid w:val="13644227"/>
    <w:rsid w:val="13682FCA"/>
    <w:rsid w:val="13951998"/>
    <w:rsid w:val="13A46D46"/>
    <w:rsid w:val="13C4793A"/>
    <w:rsid w:val="13CF3EA2"/>
    <w:rsid w:val="13D61F2A"/>
    <w:rsid w:val="143C677F"/>
    <w:rsid w:val="14414D4A"/>
    <w:rsid w:val="14C05F07"/>
    <w:rsid w:val="14E4797E"/>
    <w:rsid w:val="14E47F95"/>
    <w:rsid w:val="159771E1"/>
    <w:rsid w:val="15C2314D"/>
    <w:rsid w:val="15C35517"/>
    <w:rsid w:val="15CB6628"/>
    <w:rsid w:val="15DF2B14"/>
    <w:rsid w:val="15E02379"/>
    <w:rsid w:val="15E55FD2"/>
    <w:rsid w:val="16235803"/>
    <w:rsid w:val="16387AF3"/>
    <w:rsid w:val="169968A2"/>
    <w:rsid w:val="16A57FA8"/>
    <w:rsid w:val="16B447CE"/>
    <w:rsid w:val="16CF2191"/>
    <w:rsid w:val="16D051A3"/>
    <w:rsid w:val="16F2179B"/>
    <w:rsid w:val="170F0FFB"/>
    <w:rsid w:val="17231B69"/>
    <w:rsid w:val="1725287C"/>
    <w:rsid w:val="173750F5"/>
    <w:rsid w:val="1747089A"/>
    <w:rsid w:val="1748046E"/>
    <w:rsid w:val="17881711"/>
    <w:rsid w:val="179614A4"/>
    <w:rsid w:val="180E4708"/>
    <w:rsid w:val="181D5976"/>
    <w:rsid w:val="18390C2F"/>
    <w:rsid w:val="1839219B"/>
    <w:rsid w:val="184673E0"/>
    <w:rsid w:val="184839F8"/>
    <w:rsid w:val="18A4537B"/>
    <w:rsid w:val="18F6176D"/>
    <w:rsid w:val="1908435F"/>
    <w:rsid w:val="191221E7"/>
    <w:rsid w:val="19712A08"/>
    <w:rsid w:val="197721FB"/>
    <w:rsid w:val="1977452F"/>
    <w:rsid w:val="1978089E"/>
    <w:rsid w:val="19DA75C9"/>
    <w:rsid w:val="19EB15F3"/>
    <w:rsid w:val="1A023114"/>
    <w:rsid w:val="1A3348FA"/>
    <w:rsid w:val="1A567B0D"/>
    <w:rsid w:val="1A8C7D14"/>
    <w:rsid w:val="1A8F0685"/>
    <w:rsid w:val="1A9D31D2"/>
    <w:rsid w:val="1ABD4C01"/>
    <w:rsid w:val="1AC54A61"/>
    <w:rsid w:val="1ACD4D47"/>
    <w:rsid w:val="1B035FF0"/>
    <w:rsid w:val="1B085AA0"/>
    <w:rsid w:val="1B310FCA"/>
    <w:rsid w:val="1B617893"/>
    <w:rsid w:val="1B7A0F25"/>
    <w:rsid w:val="1BC30223"/>
    <w:rsid w:val="1BE26B33"/>
    <w:rsid w:val="1CDE07BA"/>
    <w:rsid w:val="1CE601E0"/>
    <w:rsid w:val="1CFA4A48"/>
    <w:rsid w:val="1D076619"/>
    <w:rsid w:val="1D4A26DF"/>
    <w:rsid w:val="1D92201C"/>
    <w:rsid w:val="1DD94363"/>
    <w:rsid w:val="1E68467F"/>
    <w:rsid w:val="1E6D50FF"/>
    <w:rsid w:val="1EB721D7"/>
    <w:rsid w:val="1EBA479D"/>
    <w:rsid w:val="1ED34FE5"/>
    <w:rsid w:val="1EFC4C25"/>
    <w:rsid w:val="1F653BA1"/>
    <w:rsid w:val="1FB96708"/>
    <w:rsid w:val="1FF9186E"/>
    <w:rsid w:val="205634FB"/>
    <w:rsid w:val="205C6085"/>
    <w:rsid w:val="20811D89"/>
    <w:rsid w:val="20A13370"/>
    <w:rsid w:val="20B30D8C"/>
    <w:rsid w:val="20ED6C54"/>
    <w:rsid w:val="21010674"/>
    <w:rsid w:val="210827FC"/>
    <w:rsid w:val="218D0C0A"/>
    <w:rsid w:val="21A268AC"/>
    <w:rsid w:val="21AB108C"/>
    <w:rsid w:val="21C56547"/>
    <w:rsid w:val="21D279E8"/>
    <w:rsid w:val="22085967"/>
    <w:rsid w:val="222317CE"/>
    <w:rsid w:val="22D62947"/>
    <w:rsid w:val="23037CD2"/>
    <w:rsid w:val="236A1700"/>
    <w:rsid w:val="23901985"/>
    <w:rsid w:val="23DF295A"/>
    <w:rsid w:val="23E60FD3"/>
    <w:rsid w:val="23FC7981"/>
    <w:rsid w:val="24012000"/>
    <w:rsid w:val="2414252F"/>
    <w:rsid w:val="24506B86"/>
    <w:rsid w:val="24AC2183"/>
    <w:rsid w:val="24D34D0F"/>
    <w:rsid w:val="24E751B7"/>
    <w:rsid w:val="25365F50"/>
    <w:rsid w:val="25565A1D"/>
    <w:rsid w:val="25641E0C"/>
    <w:rsid w:val="25824A7D"/>
    <w:rsid w:val="25912940"/>
    <w:rsid w:val="25A7664F"/>
    <w:rsid w:val="25AC0534"/>
    <w:rsid w:val="25C576E9"/>
    <w:rsid w:val="264B2D15"/>
    <w:rsid w:val="264F366B"/>
    <w:rsid w:val="26576D15"/>
    <w:rsid w:val="265C4236"/>
    <w:rsid w:val="26A23DB0"/>
    <w:rsid w:val="26A35467"/>
    <w:rsid w:val="26B40228"/>
    <w:rsid w:val="26BE09E6"/>
    <w:rsid w:val="26DA4AFD"/>
    <w:rsid w:val="26E27D77"/>
    <w:rsid w:val="271F0A4D"/>
    <w:rsid w:val="274D34BC"/>
    <w:rsid w:val="2794558B"/>
    <w:rsid w:val="27992E0C"/>
    <w:rsid w:val="280E0752"/>
    <w:rsid w:val="28471BDE"/>
    <w:rsid w:val="286649FA"/>
    <w:rsid w:val="286E1847"/>
    <w:rsid w:val="28753608"/>
    <w:rsid w:val="289B71F2"/>
    <w:rsid w:val="28A95C6F"/>
    <w:rsid w:val="28E57B4E"/>
    <w:rsid w:val="29190267"/>
    <w:rsid w:val="29804948"/>
    <w:rsid w:val="29A44037"/>
    <w:rsid w:val="29A62DE6"/>
    <w:rsid w:val="29EA143F"/>
    <w:rsid w:val="29EA7948"/>
    <w:rsid w:val="2A24682F"/>
    <w:rsid w:val="2A420DF0"/>
    <w:rsid w:val="2A511217"/>
    <w:rsid w:val="2A5A46B6"/>
    <w:rsid w:val="2ACA2E70"/>
    <w:rsid w:val="2ADB461A"/>
    <w:rsid w:val="2AE16E34"/>
    <w:rsid w:val="2B446805"/>
    <w:rsid w:val="2B466771"/>
    <w:rsid w:val="2B811F0D"/>
    <w:rsid w:val="2B8F54CD"/>
    <w:rsid w:val="2BF11DB1"/>
    <w:rsid w:val="2BF8374A"/>
    <w:rsid w:val="2C3F4ED7"/>
    <w:rsid w:val="2C8D1785"/>
    <w:rsid w:val="2CC70953"/>
    <w:rsid w:val="2D350E15"/>
    <w:rsid w:val="2D3D6F30"/>
    <w:rsid w:val="2E0D59C2"/>
    <w:rsid w:val="2E2B1090"/>
    <w:rsid w:val="2E2F0632"/>
    <w:rsid w:val="2E731C15"/>
    <w:rsid w:val="2EA2688E"/>
    <w:rsid w:val="2EAA4699"/>
    <w:rsid w:val="2EAB6E6A"/>
    <w:rsid w:val="2ED82B84"/>
    <w:rsid w:val="2EE75501"/>
    <w:rsid w:val="2EF574A4"/>
    <w:rsid w:val="2F0C4D22"/>
    <w:rsid w:val="2F717501"/>
    <w:rsid w:val="2F825D66"/>
    <w:rsid w:val="2F920DA2"/>
    <w:rsid w:val="2FA67C14"/>
    <w:rsid w:val="2FAC4ADB"/>
    <w:rsid w:val="300F3BBD"/>
    <w:rsid w:val="306C5F57"/>
    <w:rsid w:val="30DF5EF8"/>
    <w:rsid w:val="31682CA0"/>
    <w:rsid w:val="31692C85"/>
    <w:rsid w:val="31720046"/>
    <w:rsid w:val="317C672F"/>
    <w:rsid w:val="318020A2"/>
    <w:rsid w:val="31993D59"/>
    <w:rsid w:val="319F4D0B"/>
    <w:rsid w:val="31A14F80"/>
    <w:rsid w:val="32147273"/>
    <w:rsid w:val="3286013B"/>
    <w:rsid w:val="328B3E16"/>
    <w:rsid w:val="32DF11FF"/>
    <w:rsid w:val="332B488C"/>
    <w:rsid w:val="339861F7"/>
    <w:rsid w:val="34106DC9"/>
    <w:rsid w:val="34131D24"/>
    <w:rsid w:val="3430573E"/>
    <w:rsid w:val="34426EE0"/>
    <w:rsid w:val="3444697A"/>
    <w:rsid w:val="34640D20"/>
    <w:rsid w:val="348C4FA4"/>
    <w:rsid w:val="34967B08"/>
    <w:rsid w:val="34EF6DCD"/>
    <w:rsid w:val="34F07A5F"/>
    <w:rsid w:val="35327BBE"/>
    <w:rsid w:val="353A7DC6"/>
    <w:rsid w:val="35414B78"/>
    <w:rsid w:val="3578170C"/>
    <w:rsid w:val="359A4DCA"/>
    <w:rsid w:val="35D741FC"/>
    <w:rsid w:val="36070589"/>
    <w:rsid w:val="364D4530"/>
    <w:rsid w:val="369279F4"/>
    <w:rsid w:val="3759480E"/>
    <w:rsid w:val="3778539F"/>
    <w:rsid w:val="3791088A"/>
    <w:rsid w:val="37924A02"/>
    <w:rsid w:val="37B660B6"/>
    <w:rsid w:val="37BD1ED8"/>
    <w:rsid w:val="37E76EBA"/>
    <w:rsid w:val="37F5545C"/>
    <w:rsid w:val="38176EB9"/>
    <w:rsid w:val="382D642F"/>
    <w:rsid w:val="38B727A6"/>
    <w:rsid w:val="3928041C"/>
    <w:rsid w:val="395E033E"/>
    <w:rsid w:val="397F0222"/>
    <w:rsid w:val="39F26FE1"/>
    <w:rsid w:val="39F83DF2"/>
    <w:rsid w:val="3A981180"/>
    <w:rsid w:val="3ADE09A9"/>
    <w:rsid w:val="3B4E63A1"/>
    <w:rsid w:val="3B8B071B"/>
    <w:rsid w:val="3BE71EC6"/>
    <w:rsid w:val="3BE9103C"/>
    <w:rsid w:val="3BF26170"/>
    <w:rsid w:val="3BF652BC"/>
    <w:rsid w:val="3C1A1DC8"/>
    <w:rsid w:val="3CA806D5"/>
    <w:rsid w:val="3CA84805"/>
    <w:rsid w:val="3CE010B8"/>
    <w:rsid w:val="3CE508ED"/>
    <w:rsid w:val="3D1120F4"/>
    <w:rsid w:val="3D587DE5"/>
    <w:rsid w:val="3D826F22"/>
    <w:rsid w:val="3D90017F"/>
    <w:rsid w:val="3DCC0BBD"/>
    <w:rsid w:val="3E1A05A2"/>
    <w:rsid w:val="3EA84343"/>
    <w:rsid w:val="3EBF130D"/>
    <w:rsid w:val="3EC456A1"/>
    <w:rsid w:val="3F451BC8"/>
    <w:rsid w:val="3F79526A"/>
    <w:rsid w:val="3FAA1762"/>
    <w:rsid w:val="3FB57663"/>
    <w:rsid w:val="3FB66F27"/>
    <w:rsid w:val="3FE41195"/>
    <w:rsid w:val="401B2416"/>
    <w:rsid w:val="40514DB4"/>
    <w:rsid w:val="40556B20"/>
    <w:rsid w:val="40CC3E82"/>
    <w:rsid w:val="412F096E"/>
    <w:rsid w:val="414E1A62"/>
    <w:rsid w:val="417A4558"/>
    <w:rsid w:val="41C07342"/>
    <w:rsid w:val="41F04E77"/>
    <w:rsid w:val="42103F31"/>
    <w:rsid w:val="422E0A08"/>
    <w:rsid w:val="42694424"/>
    <w:rsid w:val="42914D4A"/>
    <w:rsid w:val="42A67DD5"/>
    <w:rsid w:val="42B13CDE"/>
    <w:rsid w:val="42CE0B28"/>
    <w:rsid w:val="42D8371D"/>
    <w:rsid w:val="42F87C3C"/>
    <w:rsid w:val="43027690"/>
    <w:rsid w:val="43054D99"/>
    <w:rsid w:val="43240DFD"/>
    <w:rsid w:val="439D55DB"/>
    <w:rsid w:val="43BF4CF3"/>
    <w:rsid w:val="44003C64"/>
    <w:rsid w:val="44387892"/>
    <w:rsid w:val="446E27FF"/>
    <w:rsid w:val="44765805"/>
    <w:rsid w:val="448A3F60"/>
    <w:rsid w:val="44BC6FE9"/>
    <w:rsid w:val="44F4354A"/>
    <w:rsid w:val="450611F7"/>
    <w:rsid w:val="45172008"/>
    <w:rsid w:val="454702B7"/>
    <w:rsid w:val="456631C1"/>
    <w:rsid w:val="45BD253B"/>
    <w:rsid w:val="45D17682"/>
    <w:rsid w:val="45D24718"/>
    <w:rsid w:val="45D2778C"/>
    <w:rsid w:val="45E15DB7"/>
    <w:rsid w:val="45E2586B"/>
    <w:rsid w:val="45EE2C19"/>
    <w:rsid w:val="470A4990"/>
    <w:rsid w:val="47312BC9"/>
    <w:rsid w:val="478F287A"/>
    <w:rsid w:val="479460B3"/>
    <w:rsid w:val="47A36041"/>
    <w:rsid w:val="47A61D71"/>
    <w:rsid w:val="481159E0"/>
    <w:rsid w:val="482A2289"/>
    <w:rsid w:val="48494CFC"/>
    <w:rsid w:val="484D2E31"/>
    <w:rsid w:val="486614AB"/>
    <w:rsid w:val="487939F1"/>
    <w:rsid w:val="48EB7171"/>
    <w:rsid w:val="490701F3"/>
    <w:rsid w:val="493D2BF2"/>
    <w:rsid w:val="495654B0"/>
    <w:rsid w:val="49912190"/>
    <w:rsid w:val="49F75EF8"/>
    <w:rsid w:val="49FC6088"/>
    <w:rsid w:val="4A1A5171"/>
    <w:rsid w:val="4A79045C"/>
    <w:rsid w:val="4AA90569"/>
    <w:rsid w:val="4AB04634"/>
    <w:rsid w:val="4AC541C0"/>
    <w:rsid w:val="4AF62B82"/>
    <w:rsid w:val="4BC6087B"/>
    <w:rsid w:val="4BE172E5"/>
    <w:rsid w:val="4C0F4139"/>
    <w:rsid w:val="4C2E366C"/>
    <w:rsid w:val="4C437C13"/>
    <w:rsid w:val="4C6578C0"/>
    <w:rsid w:val="4CA412AA"/>
    <w:rsid w:val="4D197532"/>
    <w:rsid w:val="4E1D1EA8"/>
    <w:rsid w:val="4E2D6CB5"/>
    <w:rsid w:val="4E393F67"/>
    <w:rsid w:val="4E4461AB"/>
    <w:rsid w:val="4E6E6A73"/>
    <w:rsid w:val="4E8A2F6D"/>
    <w:rsid w:val="4E90667E"/>
    <w:rsid w:val="4EAC0F11"/>
    <w:rsid w:val="4EB41693"/>
    <w:rsid w:val="4ED106C8"/>
    <w:rsid w:val="4F1625D5"/>
    <w:rsid w:val="4F3F77C5"/>
    <w:rsid w:val="4F5E38C5"/>
    <w:rsid w:val="4F9342E4"/>
    <w:rsid w:val="4FB30428"/>
    <w:rsid w:val="501417FC"/>
    <w:rsid w:val="5020656B"/>
    <w:rsid w:val="505E0352"/>
    <w:rsid w:val="507C08CC"/>
    <w:rsid w:val="5084484C"/>
    <w:rsid w:val="50C16431"/>
    <w:rsid w:val="50FF298A"/>
    <w:rsid w:val="51007642"/>
    <w:rsid w:val="511A1CEF"/>
    <w:rsid w:val="51390689"/>
    <w:rsid w:val="51507360"/>
    <w:rsid w:val="51537AD9"/>
    <w:rsid w:val="515A7AB3"/>
    <w:rsid w:val="517904C8"/>
    <w:rsid w:val="5191764E"/>
    <w:rsid w:val="519977AA"/>
    <w:rsid w:val="51A11C58"/>
    <w:rsid w:val="51A13D80"/>
    <w:rsid w:val="520F53AD"/>
    <w:rsid w:val="52237657"/>
    <w:rsid w:val="524E03DE"/>
    <w:rsid w:val="52556250"/>
    <w:rsid w:val="525F23A4"/>
    <w:rsid w:val="52616DA0"/>
    <w:rsid w:val="52B93E9F"/>
    <w:rsid w:val="52DC5BD8"/>
    <w:rsid w:val="53101E16"/>
    <w:rsid w:val="533B070E"/>
    <w:rsid w:val="53577D49"/>
    <w:rsid w:val="535F511F"/>
    <w:rsid w:val="53620700"/>
    <w:rsid w:val="53CA4FAD"/>
    <w:rsid w:val="53E0274B"/>
    <w:rsid w:val="549830DD"/>
    <w:rsid w:val="549A5062"/>
    <w:rsid w:val="54BB38F7"/>
    <w:rsid w:val="54D16760"/>
    <w:rsid w:val="554E12C6"/>
    <w:rsid w:val="55952459"/>
    <w:rsid w:val="55AA721C"/>
    <w:rsid w:val="55AC79E7"/>
    <w:rsid w:val="55B87800"/>
    <w:rsid w:val="55BA059E"/>
    <w:rsid w:val="56303D55"/>
    <w:rsid w:val="5634173B"/>
    <w:rsid w:val="563F0F94"/>
    <w:rsid w:val="566C625A"/>
    <w:rsid w:val="5671098A"/>
    <w:rsid w:val="568B1DFB"/>
    <w:rsid w:val="56B71FFC"/>
    <w:rsid w:val="56C003A2"/>
    <w:rsid w:val="56C94CD6"/>
    <w:rsid w:val="56D41E09"/>
    <w:rsid w:val="571D1A8E"/>
    <w:rsid w:val="572007D0"/>
    <w:rsid w:val="574F7898"/>
    <w:rsid w:val="5778226E"/>
    <w:rsid w:val="57922960"/>
    <w:rsid w:val="5799742B"/>
    <w:rsid w:val="57B124E7"/>
    <w:rsid w:val="57C841A1"/>
    <w:rsid w:val="57E74BE1"/>
    <w:rsid w:val="5852255F"/>
    <w:rsid w:val="58631A9E"/>
    <w:rsid w:val="586456A3"/>
    <w:rsid w:val="58FD49C2"/>
    <w:rsid w:val="59335D4B"/>
    <w:rsid w:val="598B6764"/>
    <w:rsid w:val="59F3466C"/>
    <w:rsid w:val="5A47156F"/>
    <w:rsid w:val="5A72028A"/>
    <w:rsid w:val="5AAD7A8B"/>
    <w:rsid w:val="5AE27592"/>
    <w:rsid w:val="5AF80F6D"/>
    <w:rsid w:val="5B037FE4"/>
    <w:rsid w:val="5B4B50B5"/>
    <w:rsid w:val="5B63015D"/>
    <w:rsid w:val="5B6C777E"/>
    <w:rsid w:val="5BC174A5"/>
    <w:rsid w:val="5BE4BEE1"/>
    <w:rsid w:val="5C1D1442"/>
    <w:rsid w:val="5C924FE6"/>
    <w:rsid w:val="5CA16D43"/>
    <w:rsid w:val="5CB45ED4"/>
    <w:rsid w:val="5CFE28AB"/>
    <w:rsid w:val="5D09177F"/>
    <w:rsid w:val="5D097E3D"/>
    <w:rsid w:val="5D0D092A"/>
    <w:rsid w:val="5D3940BA"/>
    <w:rsid w:val="5D50449E"/>
    <w:rsid w:val="5D5C3FEF"/>
    <w:rsid w:val="5D9C6B25"/>
    <w:rsid w:val="5DBB328C"/>
    <w:rsid w:val="5DC54D05"/>
    <w:rsid w:val="5E8C0390"/>
    <w:rsid w:val="5E9E22D7"/>
    <w:rsid w:val="5EC63139"/>
    <w:rsid w:val="5F01564E"/>
    <w:rsid w:val="5F0E7514"/>
    <w:rsid w:val="5F0F1D56"/>
    <w:rsid w:val="5F2D08F8"/>
    <w:rsid w:val="5F443E7C"/>
    <w:rsid w:val="5F5A287C"/>
    <w:rsid w:val="5F79781E"/>
    <w:rsid w:val="5F9943A2"/>
    <w:rsid w:val="5FB80747"/>
    <w:rsid w:val="601270E8"/>
    <w:rsid w:val="6045006A"/>
    <w:rsid w:val="60A6084B"/>
    <w:rsid w:val="60AB2370"/>
    <w:rsid w:val="60B3398C"/>
    <w:rsid w:val="60B47640"/>
    <w:rsid w:val="60CD52D1"/>
    <w:rsid w:val="60F51388"/>
    <w:rsid w:val="61592135"/>
    <w:rsid w:val="615C0E12"/>
    <w:rsid w:val="615D5EB6"/>
    <w:rsid w:val="616B3834"/>
    <w:rsid w:val="6179205D"/>
    <w:rsid w:val="619412B3"/>
    <w:rsid w:val="621800AB"/>
    <w:rsid w:val="62273925"/>
    <w:rsid w:val="622D285B"/>
    <w:rsid w:val="629457C3"/>
    <w:rsid w:val="62A0578E"/>
    <w:rsid w:val="62A92BD2"/>
    <w:rsid w:val="62A94263"/>
    <w:rsid w:val="62C30B49"/>
    <w:rsid w:val="62D73744"/>
    <w:rsid w:val="62DD0689"/>
    <w:rsid w:val="62FF0DD3"/>
    <w:rsid w:val="631278F0"/>
    <w:rsid w:val="63342B58"/>
    <w:rsid w:val="635A1E36"/>
    <w:rsid w:val="638439E5"/>
    <w:rsid w:val="63952CFC"/>
    <w:rsid w:val="63B847CC"/>
    <w:rsid w:val="63B973FE"/>
    <w:rsid w:val="63CE5619"/>
    <w:rsid w:val="642B3D78"/>
    <w:rsid w:val="644B5416"/>
    <w:rsid w:val="64560453"/>
    <w:rsid w:val="645760BC"/>
    <w:rsid w:val="646D1C5C"/>
    <w:rsid w:val="653247F0"/>
    <w:rsid w:val="65501841"/>
    <w:rsid w:val="65A41BBA"/>
    <w:rsid w:val="65C36F0C"/>
    <w:rsid w:val="66281884"/>
    <w:rsid w:val="66570092"/>
    <w:rsid w:val="66F62CA1"/>
    <w:rsid w:val="66FAF0D8"/>
    <w:rsid w:val="670C7557"/>
    <w:rsid w:val="671F3A15"/>
    <w:rsid w:val="67474E03"/>
    <w:rsid w:val="67BC5DF7"/>
    <w:rsid w:val="68431BC3"/>
    <w:rsid w:val="68661C5D"/>
    <w:rsid w:val="68840CAB"/>
    <w:rsid w:val="68B81C3A"/>
    <w:rsid w:val="68E35427"/>
    <w:rsid w:val="69040327"/>
    <w:rsid w:val="69430587"/>
    <w:rsid w:val="694716A3"/>
    <w:rsid w:val="69A81CBA"/>
    <w:rsid w:val="69AB5DA7"/>
    <w:rsid w:val="69C5079F"/>
    <w:rsid w:val="69DC654B"/>
    <w:rsid w:val="6A3D1010"/>
    <w:rsid w:val="6A5F0290"/>
    <w:rsid w:val="6A602708"/>
    <w:rsid w:val="6A857EC9"/>
    <w:rsid w:val="6AB802DA"/>
    <w:rsid w:val="6ACA1EB0"/>
    <w:rsid w:val="6ACE0506"/>
    <w:rsid w:val="6AD60163"/>
    <w:rsid w:val="6B306B80"/>
    <w:rsid w:val="6B4703E5"/>
    <w:rsid w:val="6BD071D3"/>
    <w:rsid w:val="6BE630EB"/>
    <w:rsid w:val="6C61035C"/>
    <w:rsid w:val="6CE55FD3"/>
    <w:rsid w:val="6CF85804"/>
    <w:rsid w:val="6D461D6F"/>
    <w:rsid w:val="6D856BC6"/>
    <w:rsid w:val="6DA363CD"/>
    <w:rsid w:val="6DA901B7"/>
    <w:rsid w:val="6DEB69C9"/>
    <w:rsid w:val="6E106E19"/>
    <w:rsid w:val="6E25247E"/>
    <w:rsid w:val="6E747AD4"/>
    <w:rsid w:val="6EBD4BE6"/>
    <w:rsid w:val="6EE132F8"/>
    <w:rsid w:val="6EE86AD5"/>
    <w:rsid w:val="6EF204DA"/>
    <w:rsid w:val="6F105DF2"/>
    <w:rsid w:val="6F623CC9"/>
    <w:rsid w:val="6F827EAE"/>
    <w:rsid w:val="6FE901D2"/>
    <w:rsid w:val="7032333C"/>
    <w:rsid w:val="70346691"/>
    <w:rsid w:val="704970CD"/>
    <w:rsid w:val="710D2FC2"/>
    <w:rsid w:val="713B1F68"/>
    <w:rsid w:val="715479F1"/>
    <w:rsid w:val="718E3A3A"/>
    <w:rsid w:val="719D7D81"/>
    <w:rsid w:val="71FD0009"/>
    <w:rsid w:val="7235192A"/>
    <w:rsid w:val="72794B2B"/>
    <w:rsid w:val="72825E24"/>
    <w:rsid w:val="72B74C27"/>
    <w:rsid w:val="72CB3AD3"/>
    <w:rsid w:val="72DE17B4"/>
    <w:rsid w:val="72FA7A9E"/>
    <w:rsid w:val="731A44D2"/>
    <w:rsid w:val="732A0D2F"/>
    <w:rsid w:val="734D50D9"/>
    <w:rsid w:val="735F2A38"/>
    <w:rsid w:val="736A2DEE"/>
    <w:rsid w:val="73740023"/>
    <w:rsid w:val="73746465"/>
    <w:rsid w:val="73A41302"/>
    <w:rsid w:val="73AF4949"/>
    <w:rsid w:val="73AF68AA"/>
    <w:rsid w:val="73BF4D75"/>
    <w:rsid w:val="73F61362"/>
    <w:rsid w:val="74800031"/>
    <w:rsid w:val="74CC4F3B"/>
    <w:rsid w:val="74D37A89"/>
    <w:rsid w:val="74D405A2"/>
    <w:rsid w:val="74DF5092"/>
    <w:rsid w:val="74F252A0"/>
    <w:rsid w:val="75270C4F"/>
    <w:rsid w:val="75375B5B"/>
    <w:rsid w:val="75474C3B"/>
    <w:rsid w:val="75747CB4"/>
    <w:rsid w:val="75C62ACF"/>
    <w:rsid w:val="75F55735"/>
    <w:rsid w:val="761D03D3"/>
    <w:rsid w:val="76266A84"/>
    <w:rsid w:val="76AA5C98"/>
    <w:rsid w:val="76AF7D4E"/>
    <w:rsid w:val="76C22786"/>
    <w:rsid w:val="76E637DA"/>
    <w:rsid w:val="77153B3F"/>
    <w:rsid w:val="771E23AF"/>
    <w:rsid w:val="774F10F9"/>
    <w:rsid w:val="77633861"/>
    <w:rsid w:val="77C16D0C"/>
    <w:rsid w:val="77F6672B"/>
    <w:rsid w:val="77FB3881"/>
    <w:rsid w:val="77FF0F2F"/>
    <w:rsid w:val="781F27D8"/>
    <w:rsid w:val="783701C5"/>
    <w:rsid w:val="78645651"/>
    <w:rsid w:val="786B21A2"/>
    <w:rsid w:val="78742AE5"/>
    <w:rsid w:val="787B4BBF"/>
    <w:rsid w:val="79003577"/>
    <w:rsid w:val="79155041"/>
    <w:rsid w:val="79163C15"/>
    <w:rsid w:val="796D2574"/>
    <w:rsid w:val="7997563E"/>
    <w:rsid w:val="799C210B"/>
    <w:rsid w:val="7A075370"/>
    <w:rsid w:val="7A493DF0"/>
    <w:rsid w:val="7A8112F8"/>
    <w:rsid w:val="7A864B2E"/>
    <w:rsid w:val="7A9E0768"/>
    <w:rsid w:val="7A9E283F"/>
    <w:rsid w:val="7AA2055C"/>
    <w:rsid w:val="7AA34A94"/>
    <w:rsid w:val="7AFB69C6"/>
    <w:rsid w:val="7B1C2F26"/>
    <w:rsid w:val="7B396A69"/>
    <w:rsid w:val="7B4D5801"/>
    <w:rsid w:val="7B672A27"/>
    <w:rsid w:val="7B6C458F"/>
    <w:rsid w:val="7B7F7887"/>
    <w:rsid w:val="7B882437"/>
    <w:rsid w:val="7BA849BB"/>
    <w:rsid w:val="7BBF4DB6"/>
    <w:rsid w:val="7BC521CE"/>
    <w:rsid w:val="7BC778CB"/>
    <w:rsid w:val="7BD3106F"/>
    <w:rsid w:val="7C540230"/>
    <w:rsid w:val="7C6859EF"/>
    <w:rsid w:val="7CA10985"/>
    <w:rsid w:val="7CCF4461"/>
    <w:rsid w:val="7CD56AE0"/>
    <w:rsid w:val="7CE732CA"/>
    <w:rsid w:val="7D073162"/>
    <w:rsid w:val="7D5C1937"/>
    <w:rsid w:val="7DB16CBA"/>
    <w:rsid w:val="7DDB2773"/>
    <w:rsid w:val="7DDBFD71"/>
    <w:rsid w:val="7DFE3726"/>
    <w:rsid w:val="7E0554BD"/>
    <w:rsid w:val="7E0E4CB1"/>
    <w:rsid w:val="7E346713"/>
    <w:rsid w:val="7E5C1206"/>
    <w:rsid w:val="7E610049"/>
    <w:rsid w:val="7E6B6F01"/>
    <w:rsid w:val="7EA510AB"/>
    <w:rsid w:val="7EB05CC5"/>
    <w:rsid w:val="7EB53ED3"/>
    <w:rsid w:val="7EE50FA7"/>
    <w:rsid w:val="7F2B710C"/>
    <w:rsid w:val="7F31176C"/>
    <w:rsid w:val="7F3C2DA8"/>
    <w:rsid w:val="7F601FB0"/>
    <w:rsid w:val="7FAD5A8E"/>
    <w:rsid w:val="7FEA4588"/>
    <w:rsid w:val="7FFFE3B4"/>
    <w:rsid w:val="AEEF698B"/>
    <w:rsid w:val="B6FF1660"/>
    <w:rsid w:val="F59CA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360" w:lineRule="auto"/>
      <w:ind w:firstLine="1044" w:firstLineChars="200"/>
      <w:jc w:val="both"/>
    </w:pPr>
    <w:rPr>
      <w:rFonts w:ascii="Times New Roman" w:hAnsi="Times New Roman" w:eastAsia="宋体" w:cs="Cambria Math"/>
      <w:kern w:val="2"/>
      <w:sz w:val="21"/>
      <w:lang w:val="en-US" w:eastAsia="zh-CN" w:bidi="ar-SA"/>
    </w:rPr>
  </w:style>
  <w:style w:type="paragraph" w:styleId="2">
    <w:name w:val="heading 1"/>
    <w:basedOn w:val="1"/>
    <w:next w:val="1"/>
    <w:link w:val="29"/>
    <w:autoRedefine/>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3">
    <w:name w:val="heading 2"/>
    <w:basedOn w:val="1"/>
    <w:next w:val="1"/>
    <w:link w:val="30"/>
    <w:autoRedefine/>
    <w:unhideWhenUsed/>
    <w:qFormat/>
    <w:uiPriority w:val="9"/>
    <w:pPr>
      <w:spacing w:line="600" w:lineRule="exact"/>
      <w:ind w:firstLine="0" w:firstLineChars="0"/>
      <w:outlineLvl w:val="1"/>
    </w:pPr>
    <w:rPr>
      <w:rFonts w:cstheme="majorBidi"/>
      <w:b/>
      <w:bCs/>
      <w:snapToGrid w:val="0"/>
      <w:szCs w:val="24"/>
    </w:rPr>
  </w:style>
  <w:style w:type="paragraph" w:styleId="4">
    <w:name w:val="heading 3"/>
    <w:basedOn w:val="1"/>
    <w:next w:val="1"/>
    <w:link w:val="31"/>
    <w:autoRedefine/>
    <w:unhideWhenUsed/>
    <w:qFormat/>
    <w:uiPriority w:val="9"/>
    <w:pPr>
      <w:outlineLvl w:val="2"/>
    </w:pPr>
    <w:rPr>
      <w:b/>
      <w:bCs/>
      <w:szCs w:val="32"/>
    </w:rPr>
  </w:style>
  <w:style w:type="paragraph" w:styleId="5">
    <w:name w:val="heading 4"/>
    <w:basedOn w:val="1"/>
    <w:next w:val="1"/>
    <w:link w:val="42"/>
    <w:autoRedefine/>
    <w:qFormat/>
    <w:uiPriority w:val="0"/>
    <w:pPr>
      <w:outlineLvl w:val="3"/>
    </w:pPr>
    <w:rPr>
      <w:rFonts w:cs="Times New Roman"/>
      <w:bCs/>
      <w:szCs w:val="28"/>
    </w:rPr>
  </w:style>
  <w:style w:type="paragraph" w:styleId="6">
    <w:name w:val="heading 5"/>
    <w:basedOn w:val="1"/>
    <w:next w:val="1"/>
    <w:link w:val="37"/>
    <w:autoRedefine/>
    <w:unhideWhenUsed/>
    <w:qFormat/>
    <w:uiPriority w:val="0"/>
    <w:pPr>
      <w:ind w:firstLine="0" w:firstLineChars="0"/>
      <w:jc w:val="center"/>
      <w:outlineLvl w:val="4"/>
    </w:pPr>
    <w:rPr>
      <w:b/>
      <w:sz w:val="28"/>
    </w:rPr>
  </w:style>
  <w:style w:type="paragraph" w:styleId="7">
    <w:name w:val="heading 6"/>
    <w:basedOn w:val="1"/>
    <w:next w:val="1"/>
    <w:link w:val="34"/>
    <w:autoRedefine/>
    <w:unhideWhenUsed/>
    <w:qFormat/>
    <w:uiPriority w:val="0"/>
    <w:pPr>
      <w:keepNext/>
      <w:keepLines/>
      <w:spacing w:before="240" w:after="64" w:line="317" w:lineRule="auto"/>
      <w:outlineLvl w:val="5"/>
    </w:pPr>
    <w:rPr>
      <w:rFonts w:eastAsia="黑体"/>
      <w:b/>
    </w:rPr>
  </w:style>
  <w:style w:type="paragraph" w:styleId="8">
    <w:name w:val="heading 7"/>
    <w:basedOn w:val="1"/>
    <w:next w:val="1"/>
    <w:link w:val="35"/>
    <w:semiHidden/>
    <w:unhideWhenUsed/>
    <w:qFormat/>
    <w:uiPriority w:val="0"/>
    <w:pPr>
      <w:keepNext/>
      <w:keepLines/>
      <w:spacing w:before="240" w:after="64" w:line="317" w:lineRule="auto"/>
      <w:outlineLvl w:val="6"/>
    </w:pPr>
    <w:rPr>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next w:val="1"/>
    <w:unhideWhenUsed/>
    <w:qFormat/>
    <w:uiPriority w:val="99"/>
    <w:pPr>
      <w:spacing w:after="120"/>
    </w:pPr>
  </w:style>
  <w:style w:type="paragraph" w:styleId="11">
    <w:name w:val="Body Text Indent"/>
    <w:basedOn w:val="1"/>
    <w:qFormat/>
    <w:uiPriority w:val="0"/>
    <w:pPr>
      <w:spacing w:before="50" w:beforeLines="50" w:line="400" w:lineRule="exact"/>
      <w:ind w:left="150" w:leftChars="150"/>
    </w:pPr>
  </w:style>
  <w:style w:type="paragraph" w:styleId="12">
    <w:name w:val="Plain Text"/>
    <w:basedOn w:val="1"/>
    <w:qFormat/>
    <w:uiPriority w:val="0"/>
    <w:rPr>
      <w:rFonts w:ascii="宋体"/>
      <w:szCs w:val="21"/>
    </w:rPr>
  </w:style>
  <w:style w:type="paragraph" w:styleId="13">
    <w:name w:val="Body Text Indent 2"/>
    <w:basedOn w:val="1"/>
    <w:qFormat/>
    <w:uiPriority w:val="0"/>
    <w:pPr>
      <w:spacing w:before="50" w:beforeLines="50" w:line="400" w:lineRule="exact"/>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rPr>
  </w:style>
  <w:style w:type="paragraph" w:styleId="16">
    <w:name w:val="toc 1"/>
    <w:basedOn w:val="1"/>
    <w:next w:val="1"/>
    <w:qFormat/>
    <w:uiPriority w:val="0"/>
  </w:style>
  <w:style w:type="paragraph" w:styleId="17">
    <w:name w:val="Subtitle"/>
    <w:basedOn w:val="1"/>
    <w:autoRedefine/>
    <w:qFormat/>
    <w:uiPriority w:val="0"/>
    <w:pPr>
      <w:autoSpaceDE/>
      <w:autoSpaceDN/>
      <w:ind w:firstLine="0" w:firstLineChars="0"/>
      <w:jc w:val="center"/>
    </w:pPr>
    <w:rPr>
      <w:rFonts w:ascii="Arial" w:hAnsi="Arial"/>
      <w:b/>
      <w:kern w:val="28"/>
      <w:sz w:val="28"/>
    </w:rPr>
  </w:style>
  <w:style w:type="paragraph" w:styleId="18">
    <w:name w:val="Title"/>
    <w:basedOn w:val="1"/>
    <w:qFormat/>
    <w:uiPriority w:val="0"/>
    <w:pPr>
      <w:spacing w:before="240" w:after="60"/>
      <w:jc w:val="center"/>
      <w:outlineLvl w:val="0"/>
    </w:pPr>
    <w:rPr>
      <w:rFonts w:ascii="Arial" w:hAnsi="Arial"/>
      <w:b/>
      <w:sz w:val="32"/>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page number"/>
    <w:basedOn w:val="21"/>
    <w:qFormat/>
    <w:uiPriority w:val="0"/>
  </w:style>
  <w:style w:type="character" w:styleId="24">
    <w:name w:val="annotation reference"/>
    <w:basedOn w:val="21"/>
    <w:qFormat/>
    <w:uiPriority w:val="0"/>
    <w:rPr>
      <w:sz w:val="21"/>
      <w:szCs w:val="21"/>
    </w:rPr>
  </w:style>
  <w:style w:type="character" w:customStyle="1" w:styleId="25">
    <w:name w:val="标题 2 Char"/>
    <w:basedOn w:val="21"/>
    <w:autoRedefine/>
    <w:qFormat/>
    <w:uiPriority w:val="9"/>
    <w:rPr>
      <w:rFonts w:ascii="Times New Roman" w:hAnsi="Times New Roman" w:eastAsia="宋体" w:cstheme="majorBidi"/>
      <w:b/>
      <w:bCs/>
      <w:snapToGrid w:val="0"/>
      <w:szCs w:val="24"/>
    </w:rPr>
  </w:style>
  <w:style w:type="character" w:customStyle="1" w:styleId="26">
    <w:name w:val="标题 3 Char"/>
    <w:basedOn w:val="21"/>
    <w:autoRedefine/>
    <w:qFormat/>
    <w:uiPriority w:val="9"/>
    <w:rPr>
      <w:b/>
      <w:bCs/>
      <w:szCs w:val="32"/>
    </w:rPr>
  </w:style>
  <w:style w:type="table" w:customStyle="1" w:styleId="27">
    <w:name w:val="Table Normal"/>
    <w:semiHidden/>
    <w:unhideWhenUsed/>
    <w:qFormat/>
    <w:uiPriority w:val="0"/>
    <w:tblPr>
      <w:tblCellMar>
        <w:top w:w="0" w:type="dxa"/>
        <w:left w:w="0" w:type="dxa"/>
        <w:bottom w:w="0" w:type="dxa"/>
        <w:right w:w="0" w:type="dxa"/>
      </w:tblCellMar>
    </w:tblPr>
  </w:style>
  <w:style w:type="character" w:customStyle="1" w:styleId="28">
    <w:name w:val="标题 1 Char"/>
    <w:basedOn w:val="21"/>
    <w:autoRedefine/>
    <w:qFormat/>
    <w:uiPriority w:val="0"/>
    <w:rPr>
      <w:rFonts w:ascii="Times New Roman" w:hAnsi="Times New Roman" w:eastAsia="宋体" w:cs="等线 Light"/>
      <w:b/>
      <w:snapToGrid w:val="0"/>
      <w:kern w:val="0"/>
      <w:sz w:val="44"/>
      <w:szCs w:val="44"/>
    </w:rPr>
  </w:style>
  <w:style w:type="character" w:customStyle="1" w:styleId="29">
    <w:name w:val="标题 1 字符"/>
    <w:link w:val="2"/>
    <w:autoRedefine/>
    <w:qFormat/>
    <w:uiPriority w:val="0"/>
    <w:rPr>
      <w:rFonts w:ascii="Times New Roman" w:hAnsi="Times New Roman" w:eastAsia="宋体" w:cs="等线 Light"/>
      <w:b/>
      <w:snapToGrid w:val="0"/>
      <w:kern w:val="0"/>
      <w:sz w:val="44"/>
      <w:szCs w:val="44"/>
    </w:rPr>
  </w:style>
  <w:style w:type="character" w:customStyle="1" w:styleId="30">
    <w:name w:val="标题 2 字符"/>
    <w:link w:val="3"/>
    <w:autoRedefine/>
    <w:qFormat/>
    <w:uiPriority w:val="0"/>
    <w:rPr>
      <w:rFonts w:ascii="Times New Roman" w:hAnsi="Times New Roman" w:eastAsia="宋体" w:cstheme="majorBidi"/>
      <w:b/>
      <w:bCs/>
      <w:snapToGrid w:val="0"/>
      <w:szCs w:val="24"/>
    </w:rPr>
  </w:style>
  <w:style w:type="character" w:customStyle="1" w:styleId="31">
    <w:name w:val="标题 3 字符"/>
    <w:link w:val="4"/>
    <w:autoRedefine/>
    <w:qFormat/>
    <w:uiPriority w:val="0"/>
    <w:rPr>
      <w:b/>
      <w:bCs/>
      <w:szCs w:val="32"/>
    </w:rPr>
  </w:style>
  <w:style w:type="character" w:customStyle="1" w:styleId="32">
    <w:name w:val="heading 4 Char"/>
    <w:autoRedefine/>
    <w:qFormat/>
    <w:uiPriority w:val="0"/>
    <w:rPr>
      <w:rFonts w:cs="Times New Roman"/>
      <w:bCs/>
      <w:szCs w:val="28"/>
    </w:rPr>
  </w:style>
  <w:style w:type="character" w:customStyle="1" w:styleId="33">
    <w:name w:val="heading 5 Char"/>
    <w:autoRedefine/>
    <w:qFormat/>
    <w:uiPriority w:val="0"/>
    <w:rPr>
      <w:rFonts w:ascii="Times New Roman" w:hAnsi="Times New Roman" w:eastAsia="宋体"/>
      <w:b/>
      <w:sz w:val="28"/>
    </w:rPr>
  </w:style>
  <w:style w:type="character" w:customStyle="1" w:styleId="34">
    <w:name w:val="标题 6 字符"/>
    <w:link w:val="7"/>
    <w:autoRedefine/>
    <w:qFormat/>
    <w:uiPriority w:val="0"/>
    <w:rPr>
      <w:rFonts w:ascii="Times New Roman" w:hAnsi="Times New Roman" w:eastAsia="黑体"/>
      <w:b/>
    </w:rPr>
  </w:style>
  <w:style w:type="character" w:customStyle="1" w:styleId="35">
    <w:name w:val="标题 7 字符"/>
    <w:link w:val="8"/>
    <w:qFormat/>
    <w:uiPriority w:val="0"/>
    <w:rPr>
      <w:rFonts w:ascii="Times New Roman" w:hAnsi="Times New Roman" w:eastAsia="宋体"/>
      <w:b/>
    </w:rPr>
  </w:style>
  <w:style w:type="character" w:customStyle="1" w:styleId="36">
    <w:name w:val="标题 4 Char"/>
    <w:autoRedefine/>
    <w:qFormat/>
    <w:uiPriority w:val="0"/>
    <w:rPr>
      <w:rFonts w:cs="Times New Roman"/>
      <w:bCs/>
      <w:szCs w:val="28"/>
    </w:rPr>
  </w:style>
  <w:style w:type="character" w:customStyle="1" w:styleId="37">
    <w:name w:val="标题 5 字符"/>
    <w:link w:val="6"/>
    <w:autoRedefine/>
    <w:qFormat/>
    <w:uiPriority w:val="0"/>
    <w:rPr>
      <w:rFonts w:ascii="Times New Roman" w:hAnsi="Times New Roman" w:eastAsia="宋体"/>
      <w:b/>
      <w:sz w:val="28"/>
    </w:rPr>
  </w:style>
  <w:style w:type="paragraph" w:customStyle="1" w:styleId="38">
    <w:name w:val="参选文件格式1"/>
    <w:basedOn w:val="1"/>
    <w:next w:val="1"/>
    <w:link w:val="51"/>
    <w:autoRedefine/>
    <w:qFormat/>
    <w:locked/>
    <w:uiPriority w:val="0"/>
    <w:pPr>
      <w:ind w:firstLine="0" w:firstLineChars="0"/>
      <w:jc w:val="center"/>
      <w:outlineLvl w:val="1"/>
    </w:pPr>
    <w:rPr>
      <w:rFonts w:hint="eastAsia"/>
      <w:b/>
      <w:sz w:val="28"/>
    </w:rPr>
  </w:style>
  <w:style w:type="paragraph" w:customStyle="1" w:styleId="39">
    <w:name w:val="参选文件格式2"/>
    <w:basedOn w:val="1"/>
    <w:next w:val="1"/>
    <w:link w:val="52"/>
    <w:autoRedefine/>
    <w:qFormat/>
    <w:locked/>
    <w:uiPriority w:val="0"/>
    <w:pPr>
      <w:ind w:firstLine="0" w:firstLineChars="0"/>
      <w:jc w:val="center"/>
      <w:outlineLvl w:val="2"/>
    </w:pPr>
    <w:rPr>
      <w:b/>
      <w:bCs/>
      <w:szCs w:val="32"/>
    </w:rPr>
  </w:style>
  <w:style w:type="paragraph" w:customStyle="1" w:styleId="40">
    <w:name w:val="参选文件格式3"/>
    <w:basedOn w:val="1"/>
    <w:link w:val="41"/>
    <w:autoRedefine/>
    <w:qFormat/>
    <w:locked/>
    <w:uiPriority w:val="0"/>
    <w:pPr>
      <w:tabs>
        <w:tab w:val="left" w:pos="6300"/>
      </w:tabs>
      <w:snapToGrid w:val="0"/>
      <w:spacing w:line="600" w:lineRule="exact"/>
      <w:ind w:firstLine="0" w:firstLineChars="0"/>
      <w:jc w:val="center"/>
    </w:pPr>
    <w:rPr>
      <w:rFonts w:hint="eastAsia" w:ascii="宋体" w:hAnsi="宋体"/>
      <w:b/>
      <w:snapToGrid w:val="0"/>
      <w:kern w:val="0"/>
    </w:rPr>
  </w:style>
  <w:style w:type="character" w:customStyle="1" w:styleId="41">
    <w:name w:val="参选文件格式3 Char"/>
    <w:link w:val="40"/>
    <w:autoRedefine/>
    <w:qFormat/>
    <w:uiPriority w:val="0"/>
    <w:rPr>
      <w:rFonts w:hint="eastAsia" w:ascii="宋体" w:hAnsi="宋体" w:eastAsia="宋体"/>
      <w:b/>
      <w:snapToGrid w:val="0"/>
      <w:kern w:val="0"/>
      <w:u w:val="none"/>
    </w:rPr>
  </w:style>
  <w:style w:type="character" w:customStyle="1" w:styleId="42">
    <w:name w:val="标题 4 字符"/>
    <w:link w:val="5"/>
    <w:autoRedefine/>
    <w:qFormat/>
    <w:uiPriority w:val="0"/>
    <w:rPr>
      <w:rFonts w:cs="Times New Roman"/>
      <w:bCs/>
      <w:szCs w:val="28"/>
    </w:rPr>
  </w:style>
  <w:style w:type="paragraph" w:customStyle="1" w:styleId="43">
    <w:name w:val="表格"/>
    <w:basedOn w:val="1"/>
    <w:qFormat/>
    <w:locked/>
    <w:uiPriority w:val="0"/>
    <w:pPr>
      <w:spacing w:before="100" w:after="100" w:line="240" w:lineRule="auto"/>
      <w:ind w:firstLine="422"/>
    </w:pPr>
    <w:rPr>
      <w:bCs/>
      <w:szCs w:val="18"/>
    </w:rPr>
  </w:style>
  <w:style w:type="paragraph" w:customStyle="1" w:styleId="44">
    <w:name w:val="表格（标题）"/>
    <w:basedOn w:val="1"/>
    <w:qFormat/>
    <w:locked/>
    <w:uiPriority w:val="0"/>
    <w:pPr>
      <w:spacing w:line="240" w:lineRule="auto"/>
      <w:ind w:firstLine="0" w:firstLineChars="0"/>
      <w:jc w:val="center"/>
    </w:pPr>
    <w:rPr>
      <w:b/>
      <w:bCs/>
      <w:szCs w:val="18"/>
    </w:rPr>
  </w:style>
  <w:style w:type="paragraph" w:customStyle="1" w:styleId="45">
    <w:name w:val="标题2（无级别）"/>
    <w:basedOn w:val="1"/>
    <w:next w:val="1"/>
    <w:link w:val="53"/>
    <w:qFormat/>
    <w:locked/>
    <w:uiPriority w:val="0"/>
    <w:pPr>
      <w:ind w:firstLine="0" w:firstLineChars="0"/>
    </w:pPr>
    <w:rPr>
      <w:rFonts w:hint="eastAsia" w:cstheme="majorBidi"/>
      <w:b/>
      <w:bCs/>
      <w:snapToGrid w:val="0"/>
      <w:szCs w:val="24"/>
    </w:rPr>
  </w:style>
  <w:style w:type="paragraph" w:customStyle="1" w:styleId="46">
    <w:name w:val="标题3（无级别）"/>
    <w:basedOn w:val="1"/>
    <w:next w:val="1"/>
    <w:qFormat/>
    <w:locked/>
    <w:uiPriority w:val="0"/>
    <w:rPr>
      <w:rFonts w:hint="eastAsia"/>
      <w:b/>
      <w:bCs/>
      <w:szCs w:val="32"/>
    </w:rPr>
  </w:style>
  <w:style w:type="paragraph" w:customStyle="1" w:styleId="47">
    <w:name w:val="封面标题"/>
    <w:basedOn w:val="1"/>
    <w:qFormat/>
    <w:locked/>
    <w:uiPriority w:val="0"/>
    <w:pPr>
      <w:ind w:firstLine="0" w:firstLineChars="0"/>
      <w:jc w:val="center"/>
    </w:pPr>
    <w:rPr>
      <w:rFonts w:hint="eastAsia" w:cs="Times New Roman"/>
      <w:b/>
      <w:snapToGrid w:val="0"/>
      <w:kern w:val="0"/>
      <w:sz w:val="48"/>
      <w:szCs w:val="84"/>
    </w:rPr>
  </w:style>
  <w:style w:type="paragraph" w:customStyle="1" w:styleId="48">
    <w:name w:val="封面文件名"/>
    <w:basedOn w:val="1"/>
    <w:qFormat/>
    <w:locked/>
    <w:uiPriority w:val="0"/>
    <w:pPr>
      <w:ind w:firstLine="0" w:firstLineChars="0"/>
      <w:jc w:val="center"/>
    </w:pPr>
    <w:rPr>
      <w:rFonts w:hint="eastAsia" w:cs="Times New Roman"/>
      <w:b/>
      <w:snapToGrid w:val="0"/>
      <w:kern w:val="0"/>
      <w:sz w:val="96"/>
      <w:szCs w:val="96"/>
    </w:rPr>
  </w:style>
  <w:style w:type="paragraph" w:customStyle="1" w:styleId="49">
    <w:name w:val="正文（居中）"/>
    <w:basedOn w:val="1"/>
    <w:qFormat/>
    <w:locked/>
    <w:uiPriority w:val="0"/>
    <w:pPr>
      <w:ind w:firstLine="0" w:firstLineChars="0"/>
      <w:jc w:val="center"/>
    </w:pPr>
    <w:rPr>
      <w:rFonts w:hint="eastAsia"/>
    </w:rPr>
  </w:style>
  <w:style w:type="table" w:customStyle="1" w:styleId="50">
    <w:name w:val="网格型5"/>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1">
    <w:name w:val="参选文件格式1 Char"/>
    <w:link w:val="38"/>
    <w:autoRedefine/>
    <w:qFormat/>
    <w:uiPriority w:val="0"/>
    <w:rPr>
      <w:rFonts w:hint="eastAsia" w:eastAsia="宋体"/>
      <w:b/>
      <w:sz w:val="28"/>
    </w:rPr>
  </w:style>
  <w:style w:type="character" w:customStyle="1" w:styleId="52">
    <w:name w:val="参选文件格式2 Char"/>
    <w:link w:val="39"/>
    <w:autoRedefine/>
    <w:qFormat/>
    <w:uiPriority w:val="0"/>
    <w:rPr>
      <w:rFonts w:ascii="Times New Roman" w:hAnsi="Times New Roman" w:eastAsia="宋体"/>
      <w:b/>
      <w:bCs/>
      <w:szCs w:val="32"/>
    </w:rPr>
  </w:style>
  <w:style w:type="character" w:customStyle="1" w:styleId="53">
    <w:name w:val="标题2（无级别） Char"/>
    <w:link w:val="45"/>
    <w:qFormat/>
    <w:uiPriority w:val="0"/>
    <w:rPr>
      <w:rFonts w:hint="eastAsia" w:ascii="Times New Roman" w:hAnsi="Times New Roman" w:eastAsia="宋体" w:cstheme="majorBidi"/>
      <w:b/>
      <w:bCs/>
      <w:snapToGrid w:val="0"/>
      <w:szCs w:val="24"/>
    </w:rPr>
  </w:style>
  <w:style w:type="paragraph" w:customStyle="1" w:styleId="54">
    <w:name w:val="表格（前）"/>
    <w:basedOn w:val="1"/>
    <w:qFormat/>
    <w:uiPriority w:val="0"/>
    <w:pPr>
      <w:spacing w:before="100" w:after="100"/>
      <w:ind w:firstLine="0" w:firstLineChars="0"/>
      <w:jc w:val="center"/>
    </w:pPr>
    <w:rPr>
      <w:rFonts w:hint="eastAsia"/>
      <w:bCs/>
      <w:szCs w:val="21"/>
    </w:rPr>
  </w:style>
  <w:style w:type="paragraph" w:customStyle="1" w:styleId="55">
    <w:name w:val="正文（加粗）"/>
    <w:basedOn w:val="1"/>
    <w:qFormat/>
    <w:uiPriority w:val="0"/>
    <w:pPr>
      <w:snapToGrid w:val="0"/>
    </w:pPr>
    <w:rPr>
      <w:rFonts w:hint="eastAsia" w:cs="Times New Roman"/>
      <w:b/>
      <w:sz w:val="24"/>
    </w:rPr>
  </w:style>
  <w:style w:type="paragraph" w:customStyle="1" w:styleId="56">
    <w:name w:val="提示词"/>
    <w:basedOn w:val="1"/>
    <w:link w:val="57"/>
    <w:qFormat/>
    <w:uiPriority w:val="0"/>
    <w:pPr>
      <w:ind w:firstLine="0" w:firstLineChars="0"/>
      <w:jc w:val="center"/>
    </w:pPr>
    <w:rPr>
      <w:rFonts w:hint="eastAsia" w:ascii="宋体" w:hAnsi="宋体" w:cs="宋体"/>
      <w:i/>
      <w:iCs/>
      <w:szCs w:val="21"/>
    </w:rPr>
  </w:style>
  <w:style w:type="character" w:customStyle="1" w:styleId="57">
    <w:name w:val="提示词 Char"/>
    <w:basedOn w:val="21"/>
    <w:link w:val="56"/>
    <w:qFormat/>
    <w:uiPriority w:val="0"/>
    <w:rPr>
      <w:rFonts w:hint="eastAsia" w:ascii="宋体" w:hAnsi="宋体" w:eastAsia="宋体" w:cs="宋体"/>
      <w:i/>
      <w:iCs/>
      <w:color w:val="auto"/>
      <w:szCs w:val="21"/>
    </w:rPr>
  </w:style>
  <w:style w:type="paragraph" w:customStyle="1" w:styleId="58">
    <w:name w:val="正文居中"/>
    <w:basedOn w:val="1"/>
    <w:qFormat/>
    <w:locked/>
    <w:uiPriority w:val="0"/>
    <w:pPr>
      <w:ind w:firstLine="0" w:firstLineChars="0"/>
      <w:jc w:val="center"/>
    </w:pPr>
    <w:rPr>
      <w:rFonts w:hint="eastAsia"/>
    </w:rPr>
  </w:style>
  <w:style w:type="paragraph" w:customStyle="1" w:styleId="59">
    <w:name w:val="参选文件格式4"/>
    <w:basedOn w:val="1"/>
    <w:qFormat/>
    <w:uiPriority w:val="0"/>
    <w:pPr>
      <w:ind w:firstLine="0" w:firstLineChars="0"/>
      <w:jc w:val="center"/>
      <w:outlineLvl w:val="3"/>
    </w:pPr>
    <w:rPr>
      <w:rFonts w:hint="eastAsia"/>
      <w:b/>
      <w:bCs/>
      <w:szCs w:val="32"/>
    </w:rPr>
  </w:style>
  <w:style w:type="character" w:customStyle="1" w:styleId="60">
    <w:name w:val="font_text_1"/>
    <w:basedOn w:val="21"/>
    <w:qFormat/>
    <w:uiPriority w:val="0"/>
  </w:style>
  <w:style w:type="paragraph" w:customStyle="1" w:styleId="61">
    <w:name w:val="修订1"/>
    <w:hidden/>
    <w:unhideWhenUsed/>
    <w:qFormat/>
    <w:uiPriority w:val="99"/>
    <w:rPr>
      <w:rFonts w:ascii="Times New Roman" w:hAnsi="Times New Roman" w:eastAsia="宋体" w:cs="Cambria Math"/>
      <w:kern w:val="2"/>
      <w:sz w:val="21"/>
      <w:lang w:val="en-US" w:eastAsia="zh-CN" w:bidi="ar-SA"/>
    </w:rPr>
  </w:style>
  <w:style w:type="paragraph" w:customStyle="1" w:styleId="62">
    <w:name w:val="修订2"/>
    <w:hidden/>
    <w:unhideWhenUsed/>
    <w:qFormat/>
    <w:uiPriority w:val="99"/>
    <w:rPr>
      <w:rFonts w:ascii="Times New Roman" w:hAnsi="Times New Roman" w:eastAsia="宋体" w:cs="Cambria Math"/>
      <w:kern w:val="2"/>
      <w:sz w:val="21"/>
      <w:lang w:val="en-US" w:eastAsia="zh-CN" w:bidi="ar-SA"/>
    </w:rPr>
  </w:style>
  <w:style w:type="paragraph" w:customStyle="1" w:styleId="63">
    <w:name w:val="修订3"/>
    <w:hidden/>
    <w:unhideWhenUsed/>
    <w:qFormat/>
    <w:uiPriority w:val="99"/>
    <w:rPr>
      <w:rFonts w:ascii="Times New Roman" w:hAnsi="Times New Roman" w:eastAsia="宋体" w:cs="Cambria Math"/>
      <w:kern w:val="2"/>
      <w:sz w:val="21"/>
      <w:lang w:val="en-US" w:eastAsia="zh-CN" w:bidi="ar-SA"/>
    </w:rPr>
  </w:style>
  <w:style w:type="paragraph" w:customStyle="1" w:styleId="64">
    <w:name w:val="Revision"/>
    <w:hidden/>
    <w:unhideWhenUsed/>
    <w:qFormat/>
    <w:uiPriority w:val="99"/>
    <w:rPr>
      <w:rFonts w:ascii="Times New Roman" w:hAnsi="Times New Roman" w:eastAsia="宋体" w:cs="Cambria Math"/>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84b24c53-b9e6-49d3-8091-91de634b3745</errorID>
      <errorWord>，</errorWord>
      <group>L1_Word</group>
      <groupName>字词问题</groupName>
      <ability>L2_Typo</ability>
      <abilityName>字词错误</abilityName>
      <candidateList>
        <item>，具</item>
      </candidateList>
      <explain/>
      <paraID>7E42267B</paraID>
      <start>46</start>
      <end>47</end>
      <status>unmodified</status>
      <modifiedWord/>
      <trackRevisions>false</trackRevisions>
    </reviewItem>
    <reviewItem>
      <errorID>ab7ab4e4-1527-40c1-b00d-78109da7b665</errorID>
      <errorWord>日至2026年</errorWord>
      <group>L1_Word</group>
      <groupName>字词问题</groupName>
      <ability>L2_Typo</ability>
      <abilityName>字词错误</abilityName>
      <candidateList>
        <item>日起至2026年</item>
      </candidateList>
      <explain/>
      <paraID>1A33FF7A</paraID>
      <start>11</start>
      <end>18</end>
      <status>unmodified</status>
      <modifiedWord/>
      <trackRevisions>false</trackRevisions>
    </reviewItem>
    <reviewItem>
      <errorID>993da235-a454-4ab8-8217-7020f83e3368</errorID>
      <errorWord>。】</errorWord>
      <group>L1_Punc</group>
      <groupName>标点问题</groupName>
      <ability>L2_Punc_CN</ability>
      <abilityName>标点符号问题</abilityName>
      <candidateList>
        <item>】</item>
      </candidateList>
      <explain/>
      <paraID>1A33FF7A</paraID>
      <start>184</start>
      <end>186</end>
      <status>unmodified</status>
      <modifiedWord/>
      <trackRevisions>false</trackRevisions>
    </reviewItem>
    <reviewItem>
      <errorID>60f944f2-8d27-471a-b867-83c6f9737f39</errorID>
      <errorWord>。】</errorWord>
      <group>L1_Punc</group>
      <groupName>标点问题</groupName>
      <ability>L2_Punc_CN</ability>
      <abilityName>标点符号问题</abilityName>
      <candidateList>
        <item>】</item>
      </candidateList>
      <explain/>
      <paraID>5C5985B6</paraID>
      <start>191</start>
      <end>193</end>
      <status>unmodified</status>
      <modifiedWord/>
      <trackRevisions>false</trackRevisions>
    </reviewItem>
    <reviewItem>
      <errorID>b9ac6f8d-ed48-43ea-aae3-7672ad412834</errorID>
      <errorWord>:</errorWord>
      <group>L1_Format</group>
      <groupName>格式问题</groupName>
      <ability>L2_HalfPunc_CN</ability>
      <abilityName>全半角问题</abilityName>
      <candidateList>
        <item>：</item>
      </candidateList>
      <explain>文本全半角错误。</explain>
      <paraID>1DA66E2C</paraID>
      <start>1</start>
      <end>2</end>
      <status>unmodified</status>
      <modifiedWord/>
      <trackRevisions>false</trackRevisions>
    </reviewItem>
    <reviewItem>
      <errorID>c741af68-7bbb-4f69-a078-58a54a6c8ea1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7A3532B5</paraID>
      <start>0</start>
      <end>2</end>
      <status>unmodified</status>
      <modifiedWord/>
      <trackRevisions>false</trackRevisions>
    </reviewItem>
    <reviewItem>
      <errorID>5c0ea4f4-1e39-4a10-8f3f-0db4de489e2f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D79FA73</paraID>
      <start>0</start>
      <end>2</end>
      <status>unmodified</status>
      <modifiedWord/>
      <trackRevisions>false</trackRevisions>
    </reviewItem>
    <reviewItem>
      <errorID>90a41e0d-c8f8-4d60-8141-3a21d4e874bc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461CDE7C</paraID>
      <start>0</start>
      <end>2</end>
      <status>unmodified</status>
      <modifiedWord/>
      <trackRevisions>false</trackRevisions>
    </reviewItem>
    <reviewItem>
      <errorID>785d398a-eb6e-4b3a-a11e-dee81ba0c42c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6FB10E1C</paraID>
      <start>0</start>
      <end>2</end>
      <status>unmodified</status>
      <modifiedWord/>
      <trackRevisions>false</trackRevisions>
    </reviewItem>
    <reviewItem>
      <errorID>40598e98-11a2-493e-8a9f-3246f02a50f5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376FBDE0</paraID>
      <start>0</start>
      <end>2</end>
      <status>unmodified</status>
      <modifiedWord/>
      <trackRevisions>false</trackRevisions>
    </reviewItem>
    <reviewItem>
      <errorID>c9f06bfa-0206-472d-b22e-427385fed938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31966BFA</paraID>
      <start>0</start>
      <end>2</end>
      <status>unmodified</status>
      <modifiedWord/>
      <trackRevisions>false</trackRevisions>
    </reviewItem>
    <reviewItem>
      <errorID>f49616ca-eb31-41da-9c16-a39e0d7d2171</errorID>
      <errorWord>&lt;</errorWord>
      <group>L1_Format</group>
      <groupName>格式问题</groupName>
      <ability>L2_HalfPunc_CN</ability>
      <abilityName>全半角问题</abilityName>
      <candidateList>
        <item>〈</item>
      </candidateList>
      <explain>文本全半角错误。</explain>
      <paraID>31966BFA</paraID>
      <start>27</start>
      <end>28</end>
      <status>unmodified</status>
      <modifiedWord/>
      <trackRevisions>false</trackRevisions>
    </reviewItem>
    <reviewItem>
      <errorID>b336cd55-b6bd-4053-a69c-0462edb7e20f</errorID>
      <errorWord>括</errorWord>
      <group>L1_Word</group>
      <groupName>字词问题</groupName>
      <ability>L2_Typo</ability>
      <abilityName>字词错误</abilityName>
      <candidateList>
        <item>括但</item>
      </candidateList>
      <explain/>
      <paraID>31966BFA</paraID>
      <start>71</start>
      <end>72</end>
      <status>unmodified</status>
      <modifiedWord/>
      <trackRevisions>false</trackRevisions>
    </reviewItem>
    <reviewItem>
      <errorID>9207ee6b-83e6-43bb-a92f-ddd405577363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4ECA37C1</paraID>
      <start>0</start>
      <end>2</end>
      <status>unmodified</status>
      <modifiedWord/>
      <trackRevisions>false</trackRevisions>
    </reviewItem>
    <reviewItem>
      <errorID>c305a9f6-52ce-4970-84fb-5205fa4cbead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1AB9824</paraID>
      <start>0</start>
      <end>2</end>
      <status>unmodified</status>
      <modifiedWord/>
      <trackRevisions>false</trackRevisions>
    </reviewItem>
    <reviewItem>
      <errorID>1e25d61f-6462-40e6-b187-37db567e0855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6A760D27</paraID>
      <start>0</start>
      <end>2</end>
      <status>unmodified</status>
      <modifiedWord/>
      <trackRevisions>false</trackRevisions>
    </reviewItem>
    <reviewItem>
      <errorID>1453b71f-e782-4fb1-8152-f9441c9e813e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B6B93FA</paraID>
      <start>0</start>
      <end>2</end>
      <status>unmodified</status>
      <modifiedWord/>
      <trackRevisions>false</trackRevisions>
    </reviewItem>
    <reviewItem>
      <errorID>86f75a45-1327-4be3-8b6c-94a1f87b7f31</errorID>
      <errorWord>成</errorWord>
      <group>L1_Word</group>
      <groupName>字词问题</groupName>
      <ability>L2_Typo</ability>
      <abilityName>字词错误</abilityName>
      <candidateList>
        <item>成后</item>
      </candidateList>
      <explain/>
      <paraID>7C111ED2</paraID>
      <start>10</start>
      <end>11</end>
      <status>unmodified</status>
      <modifiedWord/>
      <trackRevisions>false</trackRevisions>
    </reviewItem>
    <reviewItem>
      <errorID>80db8105-a82c-4616-8657-c1168e7e8acb</errorID>
      <errorWord>影响对</errorWord>
      <group>L1_Word</group>
      <groupName>字词问题</groupName>
      <ability>L2_Typo</ability>
      <abilityName>字词错误</abilityName>
      <candidateList>
        <item>影响</item>
      </candidateList>
      <explain/>
      <paraID>4C2DA819</paraID>
      <start>17</start>
      <end>20</end>
      <status>unmodified</status>
      <modifiedWord/>
      <trackRevisions>false</trackRevisions>
    </reviewItem>
    <reviewItem>
      <errorID>4eb55541-5119-4785-96df-b1a2b2305e90</errorID>
      <errorWord>有有效</errorWord>
      <group>L1_Word</group>
      <groupName>字词问题</groupName>
      <ability>L2_Typo</ability>
      <abilityName>字词错误</abilityName>
      <candidateList>
        <item>有效</item>
      </candidateList>
      <explain/>
      <paraID>56281091</paraID>
      <start>46</start>
      <end>49</end>
      <status>unmodified</status>
      <modifiedWord/>
      <trackRevisions>false</trackRevisions>
    </reviewItem>
    <reviewItem>
      <errorID>88becf4b-ae47-4a2a-af12-6471ad3f9349</errorID>
      <errorWord>(</errorWord>
      <group>L1_Format</group>
      <groupName>格式问题</groupName>
      <ability>L2_HalfPunc_CN</ability>
      <abilityName>全半角问题</abilityName>
      <candidateList>
        <item>（</item>
      </candidateList>
      <explain>文本全半角错误。</explain>
      <paraID> A3B4DF8</paraID>
      <start>0</start>
      <end>1</end>
      <status>unmodified</status>
      <modifiedWord/>
      <trackRevisions>false</trackRevisions>
    </reviewItem>
    <reviewItem>
      <errorID>109dfa1e-50fb-4300-b3c3-3ae11497c6d3</errorID>
      <errorWord>)</errorWord>
      <group>L1_Format</group>
      <groupName>格式问题</groupName>
      <ability>L2_HalfPunc_CN</ability>
      <abilityName>全半角问题</abilityName>
      <candidateList>
        <item>）</item>
      </candidateList>
      <explain>文本全半角错误。</explain>
      <paraID> A3B4DF8</paraID>
      <start>9</start>
      <end>10</end>
      <status>unmodified</status>
      <modifiedWord/>
      <trackRevisions>false</trackRevisions>
    </reviewItem>
    <reviewItem>
      <errorID>9022064a-28ba-4ea6-bce1-05807d9d7e0d</errorID>
      <errorWord>（</errorWord>
      <group>L1_Format</group>
      <groupName>格式问题</groupName>
      <ability>L2_HalfPunc_CN</ability>
      <abilityName>全半角问题</abilityName>
      <candidateList>
        <item>(</item>
      </candidateList>
      <explain>文本全半角错误。</explain>
      <paraID>5C9B1A2E</paraID>
      <start>0</start>
      <end>1</end>
      <status>unmodified</status>
      <modifiedWord/>
      <trackRevisions>false</trackRevisions>
    </reviewItem>
    <reviewItem>
      <errorID>38c11d7f-b9a7-43ab-901d-959d0b0105ab</errorID>
      <errorWord>）</errorWord>
      <group>L1_Format</group>
      <groupName>格式问题</groupName>
      <ability>L2_HalfPunc_CN</ability>
      <abilityName>全半角问题</abilityName>
      <candidateList>
        <item>)</item>
      </candidateList>
      <explain>文本全半角错误。</explain>
      <paraID>5C9B1A2E</paraID>
      <start>2</start>
      <end>3</end>
      <status>unmodified</status>
      <modifiedWord/>
      <trackRevisions>false</trackRevisions>
    </reviewItem>
    <reviewItem>
      <errorID>0a28a38e-82e1-4336-9f7d-435ea77f4af2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28</start>
      <end>31</end>
      <status>unmodified</status>
      <modifiedWord/>
      <trackRevisions>false</trackRevisions>
    </reviewItem>
    <reviewItem>
      <errorID>a3f177ed-c88a-40c6-945a-59e95b2c4ed9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35</start>
      <end>38</end>
      <status>unmodified</status>
      <modifiedWord/>
      <trackRevisions>false</trackRevisions>
    </reviewItem>
    <reviewItem>
      <errorID>010cd0a0-7290-4340-b910-272532e916d2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42</start>
      <end>45</end>
      <status>unmodified</status>
      <modifiedWord/>
      <trackRevisions>false</trackRevisions>
    </reviewItem>
    <reviewItem>
      <errorID>ac09ffff-041a-4a3e-90a5-507048e16042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49</start>
      <end>52</end>
      <status>unmodified</status>
      <modifiedWord/>
      <trackRevisions>false</trackRevisions>
    </reviewItem>
    <reviewItem>
      <errorID>951f6cd2-53f1-4a67-9e64-88be11d47fbc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56</start>
      <end>59</end>
      <status>unmodified</status>
      <modifiedWord/>
      <trackRevisions>false</trackRevisions>
    </reviewItem>
    <reviewItem>
      <errorID>561eceef-db74-4a18-bcb7-b52d1513f43a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63</start>
      <end>66</end>
      <status>unmodified</status>
      <modifiedWord/>
      <trackRevisions>false</trackRevisions>
    </reviewItem>
    <reviewItem>
      <errorID>a4cc86cb-d501-4328-97f4-1c33e45afcde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72</start>
      <end>75</end>
      <status>unmodified</status>
      <modifiedWord/>
      <trackRevisions>false</trackRevisions>
    </reviewItem>
    <reviewItem>
      <errorID>d9c75e11-dcbd-4332-a57f-e3ea882ed1b3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30351201</paraID>
      <start>81</start>
      <end>84</end>
      <status>unmodified</status>
      <modifiedWord/>
      <trackRevisions>false</trackRevisions>
    </reviewItem>
    <reviewItem>
      <errorID>b9af495e-2848-4322-b3ac-da6f043b7cd8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61E0C11B</paraID>
      <start>0</start>
      <end>2</end>
      <status>unmodified</status>
      <modifiedWord/>
      <trackRevisions>false</trackRevisions>
    </reviewItem>
    <reviewItem>
      <errorID>0e886e40-e933-4e0f-aa68-9038c24722bb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57F2228C</paraID>
      <start>0</start>
      <end>2</end>
      <status>unmodified</status>
      <modifiedWord/>
      <trackRevisions>false</trackRevisions>
    </reviewItem>
    <reviewItem>
      <errorID>0936ffa3-3099-4153-b06a-e00e7325d80b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56F6C5AC</paraID>
      <start>0</start>
      <end>2</end>
      <status>unmodified</status>
      <modifiedWord/>
      <trackRevisions>false</trackRevisions>
    </reviewItem>
    <reviewItem>
      <errorID>6f11023b-df80-4117-a572-409ff97a823d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4B851810</paraID>
      <start>0</start>
      <end>2</end>
      <status>unmodified</status>
      <modifiedWord/>
      <trackRevisions>false</trackRevisions>
    </reviewItem>
    <reviewItem>
      <errorID>8664e005-e1cc-4d08-a677-409750b6dffa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2CBE2EC3</paraID>
      <start>0</start>
      <end>2</end>
      <status>unmodified</status>
      <modifiedWord/>
      <trackRevisions>false</trackRevisions>
    </reviewItem>
    <reviewItem>
      <errorID>87fa5b10-fc34-4a8c-848a-29f5aefcba4a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51</start>
      <end>54</end>
      <status>unmodified</status>
      <modifiedWord/>
      <trackRevisions>false</trackRevisions>
    </reviewItem>
    <reviewItem>
      <errorID>d77c5fe3-625b-4acf-9fd4-bc3584b58001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58</start>
      <end>61</end>
      <status>unmodified</status>
      <modifiedWord/>
      <trackRevisions>false</trackRevisions>
    </reviewItem>
    <reviewItem>
      <errorID>581e14cc-eb84-41ca-89d2-9d06b8da9723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65</start>
      <end>68</end>
      <status>unmodified</status>
      <modifiedWord/>
      <trackRevisions>false</trackRevisions>
    </reviewItem>
    <reviewItem>
      <errorID>0b0d5795-cd8d-40f4-a946-58d97aee4cc4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72</start>
      <end>75</end>
      <status>unmodified</status>
      <modifiedWord/>
      <trackRevisions>false</trackRevisions>
    </reviewItem>
    <reviewItem>
      <errorID>4480ca48-03fa-4246-aa09-ff164725f2fd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79</start>
      <end>82</end>
      <status>unmodified</status>
      <modifiedWord/>
      <trackRevisions>false</trackRevisions>
    </reviewItem>
    <reviewItem>
      <errorID>babf7868-6dee-4d9c-bcd5-17cec78bfc65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86</start>
      <end>89</end>
      <status>unmodified</status>
      <modifiedWord/>
      <trackRevisions>false</trackRevisions>
    </reviewItem>
    <reviewItem>
      <errorID>9de43227-56f4-4408-8876-2087005cf951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95</start>
      <end>98</end>
      <status>unmodified</status>
      <modifiedWord/>
      <trackRevisions>false</trackRevisions>
    </reviewItem>
    <reviewItem>
      <errorID>e23f68eb-4cd9-4941-9a16-9e13020aaa88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79FB591D</paraID>
      <start>104</start>
      <end>107</end>
      <status>unmodified</status>
      <modifiedWord/>
      <trackRevisions>false</trackRevisions>
    </reviewItem>
    <reviewItem>
      <errorID>01ef59aa-10a8-424f-baa8-8fc9826d7dff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1063434E</paraID>
      <start>43</start>
      <end>44</end>
      <status>unmodified</status>
      <modifiedWord/>
      <trackRevisions>false</trackRevisions>
    </reviewItem>
    <reviewItem>
      <errorID>61f79623-1d55-4f50-9324-ff7cb8c1ee58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4E0B6B3</paraID>
      <start>94</start>
      <end>95</end>
      <status>unmodified</status>
      <modifiedWord/>
      <trackRevisions>false</trackRevisions>
    </reviewItem>
    <reviewItem>
      <errorID>ad083b27-1e81-4586-9884-9f298ffd5402</errorID>
      <errorWord>*</errorWord>
      <group>L1_Punc</group>
      <groupName>标点问题</groupName>
      <ability>L2_Punc_CN</ability>
      <abilityName>标点符号问题</abilityName>
      <candidateList/>
      <explain/>
      <paraID>2A75B52E</paraID>
      <start>0</start>
      <end>1</end>
      <status>unmodified</status>
      <modifiedWord/>
      <trackRevisions>false</trackRevisions>
    </reviewItem>
    <reviewItem>
      <errorID>a1a775a2-fdfa-4203-a0fe-9a4eb32b92ed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C998D95</paraID>
      <start>9</start>
      <end>10</end>
      <status>unmodified</status>
      <modifiedWord/>
      <trackRevisions>false</trackRevisions>
    </reviewItem>
    <reviewItem>
      <errorID>f4502a38-39ea-442f-836f-7ab7ce15960e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76A95452</paraID>
      <start>9</start>
      <end>10</end>
      <status>unmodified</status>
      <modifiedWord/>
      <trackRevisions>false</trackRevisions>
    </reviewItem>
    <reviewItem>
      <errorID>5ab8a652-94f4-4ab3-a24d-c32831a11af9</errorID>
      <errorWord>（</errorWord>
      <group>L1_Format</group>
      <groupName>格式问题</groupName>
      <ability>L2_HalfPunc_CN</ability>
      <abilityName>全半角问题</abilityName>
      <candidateList>
        <item>(</item>
      </candidateList>
      <explain>文本全半角错误。</explain>
      <paraID>4BB7995D</paraID>
      <start>0</start>
      <end>1</end>
      <status>unmodified</status>
      <modifiedWord/>
      <trackRevisions>false</trackRevisions>
    </reviewItem>
    <reviewItem>
      <errorID>60d9309f-70ed-4c6f-9bfd-8bceb58a1eba</errorID>
      <errorWord>）</errorWord>
      <group>L1_Format</group>
      <groupName>格式问题</groupName>
      <ability>L2_HalfPunc_CN</ability>
      <abilityName>全半角问题</abilityName>
      <candidateList>
        <item>)</item>
      </candidateList>
      <explain>文本全半角错误。</explain>
      <paraID>4BB7995D</paraID>
      <start>2</start>
      <end>3</end>
      <status>unmodified</status>
      <modifiedWord/>
      <trackRevisions>false</trackRevisions>
    </reviewItem>
    <reviewItem>
      <errorID>15750789-baf5-4237-ab49-d988a5350854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113868C8</paraID>
      <start>88</start>
      <end>89</end>
      <status>unmodified</status>
      <modifiedWord/>
      <trackRevisions>false</trackRevisions>
    </reviewItem>
    <reviewItem>
      <errorID>3359f609-0566-4f69-90e8-27b6aad5dda9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113868C8</paraID>
      <start>92</start>
      <end>93</end>
      <status>unmodified</status>
      <modifiedWord/>
      <trackRevisions>false</trackRevisions>
    </reviewItem>
    <reviewItem>
      <errorID>1be61f39-8a53-4aeb-9353-f767553c0e6e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113868C8</paraID>
      <start>98</start>
      <end>99</end>
      <status>unmodified</status>
      <modifiedWord/>
      <trackRevisions>false</trackRevisions>
    </reviewItem>
    <reviewItem>
      <errorID>1f62fcbe-573b-4531-8371-cbba177d658a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113868C8</paraID>
      <start>102</start>
      <end>103</end>
      <status>unmodified</status>
      <modifiedWord/>
      <trackRevisions>false</trackRevisions>
    </reviewItem>
    <reviewItem>
      <errorID>71cc8055-5ed3-4785-9556-d60b42ebd04b</errorID>
      <errorWord>（</errorWord>
      <group>L1_Format</group>
      <groupName>格式问题</groupName>
      <ability>L2_HalfPunc_CN</ability>
      <abilityName>全半角问题</abilityName>
      <candidateList>
        <item>(</item>
      </candidateList>
      <explain>文本全半角错误。</explain>
      <paraID>153C0875</paraID>
      <start>0</start>
      <end>1</end>
      <status>unmodified</status>
      <modifiedWord/>
      <trackRevisions>false</trackRevisions>
    </reviewItem>
    <reviewItem>
      <errorID>fe97a710-924a-4183-922f-da2bd349e1ec</errorID>
      <errorWord>）</errorWord>
      <group>L1_Format</group>
      <groupName>格式问题</groupName>
      <ability>L2_HalfPunc_CN</ability>
      <abilityName>全半角问题</abilityName>
      <candidateList>
        <item>)</item>
      </candidateList>
      <explain>文本全半角错误。</explain>
      <paraID>153C0875</paraID>
      <start>2</start>
      <end>3</end>
      <status>unmodified</status>
      <modifiedWord/>
      <trackRevisions>false</trackRevisions>
    </reviewItem>
    <reviewItem>
      <errorID>7f2c66c8-ad3f-40e3-8d67-d7450f2be61a</errorID>
      <errorWord>应</errorWord>
      <group>L1_Word</group>
      <groupName>字词问题</groupName>
      <ability>L2_Typo</ability>
      <abilityName>字词错误</abilityName>
      <candidateList>
        <item>应当</item>
      </candidateList>
      <explain/>
      <paraID> D905202</paraID>
      <start>91</start>
      <end>92</end>
      <status>unmodified</status>
      <modifiedWord/>
      <trackRevisions>false</trackRevisions>
    </reviewItem>
    <reviewItem>
      <errorID>9590cbdd-1008-4747-a21f-085f305c2948</errorID>
      <errorWord>有有效</errorWord>
      <group>L1_Word</group>
      <groupName>字词问题</groupName>
      <ability>L2_Typo</ability>
      <abilityName>字词错误</abilityName>
      <candidateList>
        <item>有效</item>
      </candidateList>
      <explain/>
      <paraID> D905202</paraID>
      <start>160</start>
      <end>163</end>
      <status>unmodified</status>
      <modifiedWord/>
      <trackRevisions>false</trackRevisions>
    </reviewItem>
    <reviewItem>
      <errorID>988aefb8-8eea-4c48-994c-9594441efaa3</errorID>
      <errorWord>:</errorWord>
      <group>L1_Format</group>
      <groupName>格式问题</groupName>
      <ability>L2_HalfPunc_CN</ability>
      <abilityName>全半角问题</abilityName>
      <candidateList>
        <item>：</item>
      </candidateList>
      <explain>文本全半角错误。</explain>
      <paraID> 2AF5B10</paraID>
      <start>4</start>
      <end>5</end>
      <status>unmodified</status>
      <modifiedWord/>
      <trackRevisions>false</trackRevisions>
    </reviewItem>
    <reviewItem>
      <errorID>ce299eff-1028-4ecc-a9b7-0a37494f969c</errorID>
      <errorWord>法律、法规</errorWord>
      <group>L1_Word</group>
      <groupName>字词问题</groupName>
      <ability>L2_Typo</ability>
      <abilityName>字词错误</abilityName>
      <candidateList>
        <item>法律法规</item>
      </candidateList>
      <explain/>
      <paraID>76499E58</paraID>
      <start>33</start>
      <end>38</end>
      <status>unmodified</status>
      <modifiedWord/>
      <trackRevisions>false</trackRevisions>
    </reviewItem>
    <reviewItem>
      <errorID>543b055b-a71f-4764-81ba-ada404a29a39</errorID>
      <errorWord>快</errorWord>
      <group>L1_Word</group>
      <groupName>字词问题</groupName>
      <ability>L2_Typo</ability>
      <abilityName>字词错误</abilityName>
      <candidateList>
        <item>短</item>
      </candidateList>
      <explain/>
      <paraID> 4A4CEC3</paraID>
      <start>62</start>
      <end>63</end>
      <status>unmodified</status>
      <modifiedWord/>
      <trackRevisions>false</trackRevisions>
    </reviewItem>
    <reviewItem>
      <errorID>4d6812fb-ad4c-45c0-ac0e-5f7ad4ef4c6f</errorID>
      <errorWord>II级</errorWord>
      <group>L1_Knowledge</group>
      <groupName>知识性问题</groupName>
      <ability>L2_Knowledge</ability>
      <abilityName>其他知识</abilityName>
      <candidateList>
        <item>Ⅱ级</item>
      </candidateList>
      <explain>中文环境下罗马数字格式错误。</explain>
      <paraID>2AA1B4C6</paraID>
      <start>13</start>
      <end>16</end>
      <status>unmodified</status>
      <modifiedWord/>
      <trackRevisions>false</trackRevisions>
    </reviewItem>
    <reviewItem>
      <errorID>285358b8-8459-4610-9d07-9cdb0cf908a5</errorID>
      <errorWord>III级</errorWord>
      <group>L1_Knowledge</group>
      <groupName>知识性问题</groupName>
      <ability>L2_Knowledge</ability>
      <abilityName>其他知识</abilityName>
      <candidateList>
        <item>Ⅲ级</item>
      </candidateList>
      <explain>中文环境下罗马数字格式错误。</explain>
      <paraID>18A0C7E7</paraID>
      <start>15</start>
      <end>19</end>
      <status>unmodified</status>
      <modifiedWord/>
      <trackRevisions>false</trackRevisions>
    </reviewItem>
    <reviewItem>
      <errorID>544650d8-586d-4d00-845a-ae421f5d8b9a</errorID>
      <errorWord>III级</errorWord>
      <group>L1_Knowledge</group>
      <groupName>知识性问题</groupName>
      <ability>L2_Knowledge</ability>
      <abilityName>其他知识</abilityName>
      <candidateList>
        <item>Ⅲ级</item>
      </candidateList>
      <explain>中文环境下罗马数字格式错误。</explain>
      <paraID>6B21B6B1</paraID>
      <start>139</start>
      <end>143</end>
      <status>unmodified</status>
      <modifiedWord/>
      <trackRevisions>false</trackRevisions>
    </reviewItem>
    <reviewItem>
      <errorID>bdb6cc51-17a7-4ddf-9e5a-190c9e404687</errorID>
      <errorWord>部分的</errorWord>
      <group>L1_Word</group>
      <groupName>字词问题</groupName>
      <ability>L2_Typo</ability>
      <abilityName>字词错误</abilityName>
      <candidateList>
        <item>部分</item>
      </candidateList>
      <explain/>
      <paraID> 76A92F9</paraID>
      <start>29</start>
      <end>32</end>
      <status>unmodified</status>
      <modifiedWord/>
      <trackRevisions>false</trackRevisions>
    </reviewItem>
    <reviewItem>
      <errorID>23db0ba8-c91e-4ed0-a489-b530f2633a37</errorID>
      <errorWord>(</errorWord>
      <group>L1_Format</group>
      <groupName>格式问题</groupName>
      <ability>L2_HalfPunc_CN</ability>
      <abilityName>全半角问题</abilityName>
      <candidateList>
        <item>（</item>
      </candidateList>
      <explain>文本全半角错误。</explain>
      <paraID>1E9518E0</paraID>
      <start>86</start>
      <end>87</end>
      <status>unmodified</status>
      <modifiedWord/>
      <trackRevisions>false</trackRevisions>
    </reviewItem>
    <reviewItem>
      <errorID>b14ea3b0-c44f-47a8-8b83-4d2952b7159a</errorID>
      <errorWord>)</errorWord>
      <group>L1_Format</group>
      <groupName>格式问题</groupName>
      <ability>L2_HalfPunc_CN</ability>
      <abilityName>全半角问题</abilityName>
      <candidateList>
        <item>）</item>
      </candidateList>
      <explain>文本全半角错误。</explain>
      <paraID>1E9518E0</paraID>
      <start>91</start>
      <end>92</end>
      <status>unmodified</status>
      <modifiedWord/>
      <trackRevisions>false</trackRevisions>
    </reviewItem>
    <reviewItem>
      <errorID>ba1fe79f-7c01-49f7-8441-ad49c7d08978</errorID>
      <errorWord>III级</errorWord>
      <group>L1_Knowledge</group>
      <groupName>知识性问题</groupName>
      <ability>L2_Knowledge</ability>
      <abilityName>其他知识</abilityName>
      <candidateList>
        <item>Ⅲ级</item>
      </candidateList>
      <explain>中文环境下罗马数字格式错误。</explain>
      <paraID>21CD85A2</paraID>
      <start>156</start>
      <end>160</end>
      <status>unmodified</status>
      <modifiedWord/>
      <trackRevisions>false</trackRevisions>
    </reviewItem>
    <reviewItem>
      <errorID>2709a3bb-c6ef-435a-b14f-f4258e2a7420</errorID>
      <errorWord>-</errorWord>
      <group>L1_Format</group>
      <groupName>格式问题</groupName>
      <ability>L2_HalfPunc_CN</ability>
      <abilityName>全半角问题</abilityName>
      <candidateList>
        <item>－</item>
      </candidateList>
      <explain>文本全半角错误。</explain>
      <paraID>1C0FBB37</paraID>
      <start>20</start>
      <end>21</end>
      <status>unmodified</status>
      <modifiedWord/>
      <trackRevisions>false</trackRevisions>
    </reviewItem>
    <reviewItem>
      <errorID>2e40ddfe-bfb7-4c2a-a878-efe357917345</errorID>
      <errorWord>,</errorWord>
      <group>L1_Format</group>
      <groupName>格式问题</groupName>
      <ability>L2_HalfPunc_CN</ability>
      <abilityName>全半角问题</abilityName>
      <candidateList>
        <item>，</item>
      </candidateList>
      <explain>文本全半角错误。</explain>
      <paraID>2724FA92</paraID>
      <start>47</start>
      <end>48</end>
      <status>unmodified</status>
      <modifiedWord/>
      <trackRevisions>false</trackRevisions>
    </reviewItem>
    <reviewItem>
      <errorID>3eb9811f-f06e-44e2-8001-75bc32f8c337</errorID>
      <errorWord>何</errorWord>
      <group>L1_Word</group>
      <groupName>字词问题</groupName>
      <ability>L2_Typo</ability>
      <abilityName>字词错误</abilityName>
      <candidateList>
        <item>何一</item>
      </candidateList>
      <explain/>
      <paraID>1433653D</paraID>
      <start>41</start>
      <end>42</end>
      <status>unmodified</status>
      <modifiedWord/>
      <trackRevisions>false</trackRevisions>
    </reviewItem>
    <reviewItem>
      <errorID>e7bae089-68c7-43f7-b604-cdefdc87822a</errorID>
      <errorWord>接受</errorWord>
      <group>L1_Word</group>
      <groupName>字词问题</groupName>
      <ability>L2_Typo</ability>
      <abilityName>字词错误</abilityName>
      <candidateList>
        <item>接收</item>
      </candidateList>
      <explain>存在发音相同字词的误用。</explain>
      <paraID> 4113B6B</paraID>
      <start>85</start>
      <end>87</end>
      <status>unmodified</status>
      <modifiedWord/>
      <trackRevisions>false</trackRevisions>
    </reviewItem>
    <reviewItem>
      <errorID>c07c3f35-4579-4dc4-b1f7-dc1d54e5067a</errorID>
      <errorWord>,</errorWord>
      <group>L1_Format</group>
      <groupName>格式问题</groupName>
      <ability>L2_HalfPunc_CN</ability>
      <abilityName>全半角问题</abilityName>
      <candidateList>
        <item>，</item>
      </candidateList>
      <explain>文本全半角错误。</explain>
      <paraID>69898558</paraID>
      <start>61</start>
      <end>62</end>
      <status>unmodified</status>
      <modifiedWord/>
      <trackRevisions>false</trackRevisions>
    </reviewItem>
    <reviewItem>
      <errorID>482d702b-b739-4eb0-8dac-ffb8dc688dcc</errorID>
      <errorWord>,</errorWord>
      <group>L1_Format</group>
      <groupName>格式问题</groupName>
      <ability>L2_HalfPunc_CN</ability>
      <abilityName>全半角问题</abilityName>
      <candidateList>
        <item>，</item>
      </candidateList>
      <explain>文本全半角错误。</explain>
      <paraID>25FF1382</paraID>
      <start>27</start>
      <end>28</end>
      <status>unmodified</status>
      <modifiedWord/>
      <trackRevisions>false</trackRevisions>
    </reviewItem>
    <reviewItem>
      <errorID>8451ac37-c549-48c3-b200-6b7258e1172e</errorID>
      <errorWord>,</errorWord>
      <group>L1_Format</group>
      <groupName>格式问题</groupName>
      <ability>L2_HalfPunc_CN</ability>
      <abilityName>全半角问题</abilityName>
      <candidateList>
        <item>，</item>
      </candidateList>
      <explain>文本全半角错误。</explain>
      <paraID>459C3446</paraID>
      <start>22</start>
      <end>23</end>
      <status>unmodified</status>
      <modifiedWord/>
      <trackRevisions>false</trackRevisions>
    </reviewItem>
    <reviewItem>
      <errorID>9dd22c98-7d9d-419b-9f5a-5695ad8119b9</errorID>
      <errorWord>造成损失的，乙方</errorWord>
      <group>L1_Word</group>
      <groupName>字词问题</groupName>
      <ability>L2_Typo</ability>
      <abilityName>字词错误</abilityName>
      <candidateList>
        <item>造成损失的，由乙方</item>
      </candidateList>
      <explain/>
      <paraID>13268825</paraID>
      <start>156</start>
      <end>164</end>
      <status>unmodified</status>
      <modifiedWord/>
      <trackRevisions>false</trackRevisions>
    </reviewItem>
    <reviewItem>
      <errorID>8a4b62a8-b7fc-4912-8bab-d06640f3c261</errorID>
      <errorWord>开始着手</errorWord>
      <group>L1_Grammar</group>
      <groupName>语法问题</groupName>
      <ability>L2_Grammar</ability>
      <abilityName>语法错误</abilityName>
      <candidateList>
        <item>着手</item>
      </candidateList>
      <explain>该表达中的“开始着手”存在语义重复。</explain>
      <paraID>1CBA0185</paraID>
      <start>84</start>
      <end>88</end>
      <status>unmodified</status>
      <modifiedWord/>
      <trackRevisions>false</trackRevisions>
    </reviewItem>
    <reviewItem>
      <errorID>1c0e4a31-a218-48ac-a864-490a1e34c22e</errorID>
      <errorWord>法律、法规</errorWord>
      <group>L1_Word</group>
      <groupName>字词问题</groupName>
      <ability>L2_Typo</ability>
      <abilityName>字词错误</abilityName>
      <candidateList>
        <item>法律法规</item>
      </candidateList>
      <explain/>
      <paraID>1AF76EAE</paraID>
      <start>36</start>
      <end>41</end>
      <status>unmodified</status>
      <modifiedWord/>
      <trackRevisions>false</trackRevisions>
    </reviewItem>
    <reviewItem>
      <errorID>4d22120c-6c26-495c-8fa1-24f0edc28d80</errorID>
      <errorWord>防止或避免</errorWord>
      <group>L1_Grammar</group>
      <groupName>语法问题</groupName>
      <ability>L2_Grammar</ability>
      <abilityName>语法错误</abilityName>
      <candidateList>
        <item>防止或</item>
      </candidateList>
      <explain>该表达中的“防止或避免”存在语义重复。</explain>
      <paraID>1548899A</paraID>
      <start>34</start>
      <end>39</end>
      <status>unmodified</status>
      <modifiedWord/>
      <trackRevisions>false</trackRevisions>
    </reviewItem>
    <reviewItem>
      <errorID>275f9113-30b3-4c6b-b21d-75892b6dd88e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45D0A87</paraID>
      <start>0</start>
      <end>2</end>
      <status>unmodified</status>
      <modifiedWord/>
      <trackRevisions>false</trackRevisions>
    </reviewItem>
    <reviewItem>
      <errorID>5c1144c8-4d55-4bdc-8833-ca42b8344706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10</start>
      <end>13</end>
      <status>unmodified</status>
      <modifiedWord/>
      <trackRevisions>false</trackRevisions>
    </reviewItem>
    <reviewItem>
      <errorID>1f5941e9-2377-49ec-b082-86d906579c3b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20</start>
      <end>23</end>
      <status>unmodified</status>
      <modifiedWord/>
      <trackRevisions>false</trackRevisions>
    </reviewItem>
    <reviewItem>
      <errorID>3c9fb692-b298-4a81-939c-8b8a9898ff7f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30</start>
      <end>33</end>
      <status>unmodified</status>
      <modifiedWord/>
      <trackRevisions>false</trackRevisions>
    </reviewItem>
    <reviewItem>
      <errorID>31fd5bf8-6501-4356-9088-18ca189f271f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41</start>
      <end>44</end>
      <status>unmodified</status>
      <modifiedWord/>
      <trackRevisions>false</trackRevisions>
    </reviewItem>
    <reviewItem>
      <errorID>8d10fab2-2b05-4129-aa18-69ef325f8bf7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52</start>
      <end>55</end>
      <status>unmodified</status>
      <modifiedWord/>
      <trackRevisions>false</trackRevisions>
    </reviewItem>
    <reviewItem>
      <errorID>02c31172-d68b-46a0-8f59-b28609f4cd50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63</start>
      <end>66</end>
      <status>unmodified</status>
      <modifiedWord/>
      <trackRevisions>false</trackRevisions>
    </reviewItem>
    <reviewItem>
      <errorID>73860a5d-dc7b-4fa1-afea-f4a00e434172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72</start>
      <end>75</end>
      <status>unmodified</status>
      <modifiedWord/>
      <trackRevisions>false</trackRevisions>
    </reviewItem>
    <reviewItem>
      <errorID>85f42fa8-5f21-4914-8f69-15577ceceae3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80</start>
      <end>83</end>
      <status>unmodified</status>
      <modifiedWord/>
      <trackRevisions>false</trackRevisions>
    </reviewItem>
    <reviewItem>
      <errorID>7c7fc91b-9d9c-46c2-8f13-b695f174987a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87</start>
      <end>90</end>
      <status>unmodified</status>
      <modifiedWord/>
      <trackRevisions>false</trackRevisions>
    </reviewItem>
    <reviewItem>
      <errorID>da7faf60-d583-4dde-992e-15610e10cae3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96</start>
      <end>99</end>
      <status>unmodified</status>
      <modifiedWord/>
      <trackRevisions>false</trackRevisions>
    </reviewItem>
    <reviewItem>
      <errorID>cebb92a4-729a-43e9-8cb1-38c521a0e93b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106</start>
      <end>109</end>
      <status>unmodified</status>
      <modifiedWord/>
      <trackRevisions>false</trackRevisions>
    </reviewItem>
    <reviewItem>
      <errorID>ad215524-0e30-492d-ba2b-99c3c9abaeff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115</start>
      <end>118</end>
      <status>unmodified</status>
      <modifiedWord/>
      <trackRevisions>false</trackRevisions>
    </reviewItem>
    <reviewItem>
      <errorID>af08d88f-60eb-4f72-8dbc-502baa969a90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124</start>
      <end>127</end>
      <status>unmodified</status>
      <modifiedWord/>
      <trackRevisions>false</trackRevisions>
    </reviewItem>
    <reviewItem>
      <errorID>222eeffc-e607-423b-a43d-b9bc238a5585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698FA0</paraID>
      <start>133</start>
      <end>136</end>
      <status>unmodified</status>
      <modifiedWord/>
      <trackRevisions>false</trackRevisions>
    </reviewItem>
    <reviewItem>
      <errorID>44706fa0-125d-4f40-9472-4c705caf5e3e</errorID>
      <errorWord>沟通和</errorWord>
      <group>L1_Word</group>
      <groupName>字词问题</groupName>
      <ability>L2_Typo</ability>
      <abilityName>字词错误</abilityName>
      <candidateList>
        <item>沟通</item>
      </candidateList>
      <explain/>
      <paraID>1087777E</paraID>
      <start>5</start>
      <end>8</end>
      <status>unmodified</status>
      <modifiedWord/>
      <trackRevisions>false</trackRevisions>
    </reviewItem>
    <reviewItem>
      <errorID>ddc2a2c2-3659-41b7-a3ea-d1b74e4aa905</errorID>
      <errorWord>并且</errorWord>
      <group>L1_Word</group>
      <groupName>字词问题</groupName>
      <ability>L2_Typo</ability>
      <abilityName>字词错误</abilityName>
      <candidateList>
        <item>并</item>
      </candidateList>
      <explain/>
      <paraID>718D561A</paraID>
      <start>4</start>
      <end>6</end>
      <status>unmodified</status>
      <modifiedWord/>
      <trackRevisions>false</trackRevisions>
    </reviewItem>
    <reviewItem>
      <errorID>1de06e4f-339a-4d9d-a53f-79bc9deb3c77</errorID>
      <errorWord>,</errorWord>
      <group>L1_Format</group>
      <groupName>格式问题</groupName>
      <ability>L2_HalfPunc_CN</ability>
      <abilityName>全半角问题</abilityName>
      <candidateList>
        <item>，</item>
      </candidateList>
      <explain>文本全半角错误。</explain>
      <paraID>31B4DA0A</paraID>
      <start>9</start>
      <end>10</end>
      <status>unmodified</status>
      <modifiedWord/>
      <trackRevisions>false</trackRevisions>
    </reviewItem>
    <reviewItem>
      <errorID>f34a88e9-b204-43df-a01f-cced86fea245</errorID>
      <errorWord>,</errorWord>
      <group>L1_Format</group>
      <groupName>格式问题</groupName>
      <ability>L2_HalfPunc_CN</ability>
      <abilityName>全半角问题</abilityName>
      <candidateList>
        <item>，</item>
      </candidateList>
      <explain>文本全半角错误。</explain>
      <paraID>31B4DA0A</paraID>
      <start>21</start>
      <end>22</end>
      <status>unmodified</status>
      <modifiedWord/>
      <trackRevisions>false</trackRevisions>
    </reviewItem>
    <reviewItem>
      <errorID>40743f23-7433-4160-8c94-b259e3b612bf</errorID>
      <errorWord>/</errorWord>
      <group>L1_Word</group>
      <groupName>字词问题</groupName>
      <ability>L2_Typo</ability>
      <abilityName>字词错误</abilityName>
      <candidateList>
        <item>/评</item>
      </candidateList>
      <explain/>
      <paraID>265E6966</paraID>
      <start>2</start>
      <end>3</end>
      <status>unmodified</status>
      <modifiedWord/>
      <trackRevisions>false</trackRevisions>
    </reviewItem>
    <reviewItem>
      <errorID>9df24fab-f579-407e-b516-b7aea51dc411</errorID>
      <errorWord>0-5%</errorWord>
      <group>L1_Knowledge</group>
      <groupName>知识性问题</groupName>
      <ability>L2_Knowledge</ability>
      <abilityName>其他知识</abilityName>
      <candidateList>
        <item>0—5%</item>
      </candidateList>
      <explain>1. “0-5%”中的单位“%”仅出现在后一个数字上，容易引起歧义；根据《现代汉语标点符号数字用法规范手册》，数字表示范围两边需要使用统一的格式。2. 根据标点国标 4.13 中的规则，数字、时间或地域连接符应使用（视觉上更长的）“—”或“～”。</explain>
      <paraID>6CA1685A</paraID>
      <start>4</start>
      <end>8</end>
      <status>unmodified</status>
      <modifiedWord/>
      <trackRevisions>false</trackRevisions>
    </reviewItem>
    <reviewItem>
      <errorID>9b5c1825-e2fb-475c-83f6-9d0ceb32dd30</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 72D3E15</paraID>
      <start>3</start>
      <end>9</end>
      <status>unmodified</status>
      <modifiedWord/>
      <trackRevisions>false</trackRevisions>
    </reviewItem>
    <reviewItem>
      <errorID>1eed0bc8-40eb-4bfc-9971-819f2e1631e3</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3254EF82</paraID>
      <start>4</start>
      <end>12</end>
      <status>unmodified</status>
      <modifiedWord/>
      <trackRevisions>false</trackRevisions>
    </reviewItem>
    <reviewItem>
      <errorID>fe98e261-bbff-4278-92eb-72a1fcdf62d8</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7F750C6A</paraID>
      <start>3</start>
      <end>10</end>
      <status>unmodified</status>
      <modifiedWord/>
      <trackRevisions>false</trackRevisions>
    </reviewItem>
    <reviewItem>
      <errorID>4497b229-928c-4fe4-8db1-152191c47962</errorID>
      <errorWord>一</errorWord>
      <group>L1_Word</group>
      <groupName>字词问题</groupName>
      <ability>L2_Typo</ability>
      <abilityName>字词错误</abilityName>
      <candidateList>
        <item>一个</item>
      </candidateList>
      <explain/>
      <paraID> 4C9CAE2</paraID>
      <start>19</start>
      <end>20</end>
      <status>unmodified</status>
      <modifiedWord/>
      <trackRevisions>false</trackRevisions>
    </reviewItem>
    <reviewItem>
      <errorID>fd46188b-774b-436f-bc3d-306367363648</errorID>
      <errorWord>III级</errorWord>
      <group>L1_Knowledge</group>
      <groupName>知识性问题</groupName>
      <ability>L2_Knowledge</ability>
      <abilityName>其他知识</abilityName>
      <candidateList>
        <item>Ⅲ级</item>
      </candidateList>
      <explain>中文环境下罗马数字格式错误。</explain>
      <paraID>63649A49</paraID>
      <start>8</start>
      <end>12</end>
      <status>unmodified</status>
      <modifiedWord/>
      <trackRevisions>false</trackRevisions>
    </reviewItem>
    <reviewItem>
      <errorID>9e4e4009-bd48-46ba-8e4a-2cf5e84fca0a</errorID>
      <errorWord>出现的</errorWord>
      <group>L1_Word</group>
      <groupName>字词问题</groupName>
      <ability>L2_Typo</ability>
      <abilityName>字词错误</abilityName>
      <candidateList>
        <item>出现</item>
      </candidateList>
      <explain/>
      <paraID>5E77B886</paraID>
      <start>1</start>
      <end>4</end>
      <status>unmodified</status>
      <modifiedWord/>
      <trackRevisions>false</trackRevisions>
    </reviewItem>
    <reviewItem>
      <errorID>147dce61-fe47-44ea-9df6-5cfa15ae7a3d</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44DD8733</paraID>
      <start>3</start>
      <end>11</end>
      <status>unmodified</status>
      <modifiedWord/>
      <trackRevisions>false</trackRevisions>
    </reviewItem>
    <reviewItem>
      <errorID>be0622b7-6b8e-4be8-94b0-187da26f17ea</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 1987BE2</paraID>
      <start>3</start>
      <end>10</end>
      <status>unmodified</status>
      <modifiedWord/>
      <trackRevisions>false</trackRevisions>
    </reviewItem>
    <reviewItem>
      <errorID>97078732-d42f-4b70-914b-609eb7474b79</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36F16748</paraID>
      <start>3</start>
      <end>11</end>
      <status>unmodified</status>
      <modifiedWord/>
      <trackRevisions>false</trackRevisions>
    </reviewItem>
    <reviewItem>
      <errorID>73cc5397-70b5-4a8a-94ed-29cc864ad0ea</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66141630</paraID>
      <start>3</start>
      <end>10</end>
      <status>unmodified</status>
      <modifiedWord/>
      <trackRevisions>false</trackRevisions>
    </reviewItem>
    <reviewItem>
      <errorID>26167992-9f36-4714-8a14-b1c095d8f842</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5D015877</paraID>
      <start>4</start>
      <end>9</end>
      <status>unmodified</status>
      <modifiedWord/>
      <trackRevisions>false</trackRevisions>
    </reviewItem>
    <reviewItem>
      <errorID>6aa9b13f-7b38-48ab-bb7c-9eaae173e374</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17ABC21F</paraID>
      <start>3</start>
      <end>10</end>
      <status>unmodified</status>
      <modifiedWord/>
      <trackRevisions>false</trackRevisions>
    </reviewItem>
    <reviewItem>
      <errorID>29019a09-14ce-49fe-b725-a7f8e42ab82b</errorID>
      <errorWord>好</errorWord>
      <group>L1_Word</group>
      <groupName>字词问题</groupName>
      <ability>L2_Typo</ability>
      <abilityName>字词错误</abilityName>
      <candidateList>
        <item>好地</item>
      </candidateList>
      <explain/>
      <paraID> 19B5D66</paraID>
      <start>22</start>
      <end>23</end>
      <status>unmodified</status>
      <modifiedWord/>
      <trackRevisions>false</trackRevisions>
    </reviewItem>
    <reviewItem>
      <errorID>34d76fc9-d7b6-4b96-8f4e-6bbc9c769b83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56366E16</paraID>
      <start>10</start>
      <end>11</end>
      <status>unmodified</status>
      <modifiedWord/>
      <trackRevisions>false</trackRevisions>
    </reviewItem>
    <reviewItem>
      <errorID>be8a8189-0717-483a-be44-379a87e04c9e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12A13D2</paraID>
      <start>10</start>
      <end>11</end>
      <status>unmodified</status>
      <modifiedWord/>
      <trackRevisions>false</trackRevisions>
    </reviewItem>
    <reviewItem>
      <errorID>b640e407-3cb7-4d21-bdc4-f3beafffb765</errorID>
      <errorWord>进行实施</errorWord>
      <group>L1_Word</group>
      <groupName>字词问题</groupName>
      <ability>L2_Typo</ability>
      <abilityName>字词错误</abilityName>
      <candidateList>
        <item>实施</item>
      </candidateList>
      <explain/>
      <paraID>3C939854</paraID>
      <start>101</start>
      <end>105</end>
      <status>unmodified</status>
      <modifiedWord/>
      <trackRevisions>false</trackRevisions>
    </reviewItem>
    <reviewItem>
      <errorID>1986c8cc-8d99-4915-b92d-5f0e0d4c5200</errorID>
      <errorWord>的的</errorWord>
      <group>L1_Word</group>
      <groupName>字词问题</groupName>
      <ability>L2_Typo</ability>
      <abilityName>字词错误</abilityName>
      <candidateList>
        <item>的</item>
      </candidateList>
      <explain/>
      <paraID>6FCBAA46</paraID>
      <start>24</start>
      <end>26</end>
      <status>unmodified</status>
      <modifiedWord/>
      <trackRevisions>false</trackRevisions>
    </reviewItem>
    <reviewItem>
      <errorID>662cc2e2-be66-4627-90ef-827939282307</errorID>
      <errorWord>包括不限于</errorWord>
      <group>L1_Word</group>
      <groupName>字词问题</groupName>
      <ability>L2_Typo</ability>
      <abilityName>字词错误</abilityName>
      <candidateList>
        <item>包括但不限于</item>
      </candidateList>
      <explain/>
      <paraID>2E6F3829</paraID>
      <start>57</start>
      <end>62</end>
      <status>unmodified</status>
      <modifiedWord/>
      <trackRevisions>false</trackRevisions>
    </reviewItem>
    <reviewItem>
      <errorID>29dfc823-6fae-4b54-bd98-95c00f54772e</errorID>
      <errorWord>包括不限于</errorWord>
      <group>L1_Word</group>
      <groupName>字词问题</groupName>
      <ability>L2_Typo</ability>
      <abilityName>字词错误</abilityName>
      <candidateList>
        <item>包括但不限于</item>
      </candidateList>
      <explain/>
      <paraID>26E02F0C</paraID>
      <start>57</start>
      <end>62</end>
      <status>unmodified</status>
      <modifiedWord/>
      <trackRevisions>false</trackRevisions>
    </reviewItem>
    <reviewItem>
      <errorID>bc2f9604-7c70-41ab-bdc6-5b876f84ae48</errorID>
      <errorWord>:</errorWord>
      <group>L1_Format</group>
      <groupName>格式问题</groupName>
      <ability>L2_HalfPunc_CN</ability>
      <abilityName>全半角问题</abilityName>
      <candidateList>
        <item>：</item>
      </candidateList>
      <explain>文本全半角错误。</explain>
      <paraID>51CCBCA1</paraID>
      <start>2</start>
      <end>3</end>
      <status>unmodified</status>
      <modifiedWord/>
      <trackRevisions>false</trackRevisions>
    </reviewItem>
    <reviewItem>
      <errorID>df833cae-1279-4b92-85e4-8fe095f2e3fd</errorID>
      <errorWord>:</errorWord>
      <group>L1_Format</group>
      <groupName>格式问题</groupName>
      <ability>L2_HalfPunc_CN</ability>
      <abilityName>全半角问题</abilityName>
      <candidateList>
        <item>：</item>
      </candidateList>
      <explain>文本全半角错误。</explain>
      <paraID>366D55C3</paraID>
      <start>2</start>
      <end>3</end>
      <status>unmodified</status>
      <modifiedWord/>
      <trackRevisions>false</trackRevisions>
    </reviewItem>
    <reviewItem>
      <errorID>85ec00e5-8d48-42dd-b853-ede6dd9a6ccb</errorID>
      <errorWord>其它</errorWord>
      <group>L1_Word</group>
      <groupName>字词问题</groupName>
      <ability>L2_Alias</ability>
      <abilityName>也作/曾用词</abilityName>
      <candidateList>
        <item>其他</item>
      </candidateList>
      <explain>词汇[其它]为不规范表述或旧称，其规范书面表述为[其他]。</explain>
      <paraID>22AD6B39</paraID>
      <start>0</start>
      <end>2</end>
      <status>unmodified</status>
      <modifiedWord/>
      <trackRevisions>false</trackRevisions>
    </reviewItem>
    <reviewItem>
      <errorID>396b2459-ab86-4c64-8a52-89153279d261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6E23EAB8</paraID>
      <start>23</start>
      <end>26</end>
      <status>unmodified</status>
      <modifiedWord/>
      <trackRevisions>false</trackRevisions>
    </reviewItem>
    <reviewItem>
      <errorID>67661141-657e-4ef9-8c70-9c4d03161c75</errorID>
      <errorWord>其它</errorWord>
      <group>L1_Word</group>
      <groupName>字词问题</groupName>
      <ability>L2_Alias</ability>
      <abilityName>也作/曾用词</abilityName>
      <candidateList>
        <item>其他</item>
      </candidateList>
      <explain>词汇[其它]为不规范表述或旧称，其规范书面表述为[其他]。</explain>
      <paraID>2DDAF36D</paraID>
      <start>20</start>
      <end>22</end>
      <status>unmodified</status>
      <modifiedWord/>
      <trackRevisions>false</trackRevisions>
    </reviewItem>
    <reviewItem>
      <errorID>7a94fab2-01d3-4c25-aa09-efb67765cc64</errorID>
      <errorWord>其它</errorWord>
      <group>L1_Word</group>
      <groupName>字词问题</groupName>
      <ability>L2_Alias</ability>
      <abilityName>也作/曾用词</abilityName>
      <candidateList>
        <item>其他</item>
      </candidateList>
      <explain>词汇[其它]为不规范表述或旧称，其规范书面表述为[其他]。</explain>
      <paraID>2DDAF36D</paraID>
      <start>35</start>
      <end>37</end>
      <status>unmodified</status>
      <modifiedWord/>
      <trackRevisions>false</trackRevisions>
    </reviewItem>
    <reviewItem>
      <errorID>8da5f659-87e4-4c86-b3c5-e82580cc272b</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699294EF</paraID>
      <start>40</start>
      <end>43</end>
      <status>unmodified</status>
      <modifiedWord/>
      <trackRevisions>false</trackRevisions>
    </reviewItem>
    <reviewItem>
      <errorID>ece25582-8128-45fd-a019-810418eed408</errorID>
      <errorWord>即</errorWord>
      <group>L1_Word</group>
      <groupName>字词问题</groupName>
      <ability>L2_Typo</ability>
      <abilityName>字词错误</abilityName>
      <candidateList>
        <item>既</item>
      </candidateList>
      <explain>存在发音相同字词的误用。</explain>
      <paraID>4B9327BC</paraID>
      <start>77</start>
      <end>78</end>
      <status>unmodified</status>
      <modifiedWord/>
      <trackRevisions>false</trackRevisions>
    </reviewItem>
    <reviewItem>
      <errorID>c37d1745-d2c2-417c-8ece-0acb1006c08d</errorID>
      <errorWord>大大</errorWord>
      <group>L1_Grammar</group>
      <groupName>语法问题</groupName>
      <ability>L2_Grammar</ability>
      <abilityName>语法错误</abilityName>
      <candidateList>
        <item>大幅</item>
      </candidateList>
      <explain>“大大～提升”搭配不当，建议修改为“大幅～提升”。</explain>
      <paraID>4B9327BC</paraID>
      <start>88</start>
      <end>90</end>
      <status>unmodified</status>
      <modifiedWord/>
      <trackRevisions>false</trackRevisions>
    </reviewItem>
    <reviewItem>
      <errorID>350be6b5-9a1f-479f-af62-30cd173d5755</errorID>
      <errorWord>、</errorWord>
      <group>L1_Word</group>
      <groupName>字词问题</groupName>
      <ability>L2_Typo</ability>
      <abilityName>字词错误</abilityName>
      <candidateList>
        <item>、可</item>
      </candidateList>
      <explain/>
      <paraID>4C7167FD</paraID>
      <start>33</start>
      <end>34</end>
      <status>unmodified</status>
      <modifiedWord/>
      <trackRevisions>false</trackRevisions>
    </reviewItem>
    <reviewItem>
      <errorID>0a35455f-aa4b-4492-a41d-d05a3c08d3f1</errorID>
      <errorWord>的的</errorWord>
      <group>L1_Word</group>
      <groupName>字词问题</groupName>
      <ability>L2_Typo</ability>
      <abilityName>字词错误</abilityName>
      <candidateList>
        <item>的</item>
      </candidateList>
      <explain/>
      <paraID>35AF454E</paraID>
      <start>92</start>
      <end>94</end>
      <status>unmodified</status>
      <modifiedWord/>
      <trackRevisions>false</trackRevisions>
    </reviewItem>
    <reviewItem>
      <errorID>c2230ce3-260b-4d9c-b903-3dfd799a8660</errorID>
      <errorWord>登陆</errorWord>
      <group>L1_Word</group>
      <groupName>字词问题</groupName>
      <ability>L2_Typo</ability>
      <abilityName>字词错误</abilityName>
      <candidateList>
        <item>登录</item>
      </candidateList>
      <explain/>
      <paraID>7345F383</paraID>
      <start>54</start>
      <end>56</end>
      <status>unmodified</status>
      <modifiedWord/>
      <trackRevisions>false</trackRevisions>
    </reviewItem>
    <reviewItem>
      <errorID>b33fbd02-843e-48ed-b402-2235b752aa13</errorID>
      <errorWord>实现到</errorWord>
      <group>L1_Word</group>
      <groupName>字词问题</groupName>
      <ability>L2_Typo</ability>
      <abilityName>字词错误</abilityName>
      <candidateList>
        <item>实现</item>
      </candidateList>
      <explain/>
      <paraID>733E1D9E</paraID>
      <start>32</start>
      <end>35</end>
      <status>unmodified</status>
      <modifiedWord/>
      <trackRevisions>false</trackRevisions>
    </reviewItem>
    <reviewItem>
      <errorID>ae0e0313-0dd1-4956-a487-65042a539a97</errorID>
      <errorWord>md5加盐</errorWord>
      <group>L1_Word</group>
      <groupName>字词问题</groupName>
      <ability>L2_Typo</ability>
      <abilityName>字词错误</abilityName>
      <candidateList>
        <item>md5加密</item>
      </candidateList>
      <explain/>
      <paraID>7A45014C</paraID>
      <start>20</start>
      <end>25</end>
      <status>unmodified</status>
      <modifiedWord/>
      <trackRevisions>false</trackRevisions>
    </reviewItem>
    <reviewItem>
      <errorID>b7912c0b-d9b2-49d8-9c70-cbfa6191df50</errorID>
      <errorWord>的</errorWord>
      <group>L1_Word</group>
      <groupName>字词问题</groupName>
      <ability>L2_DDD</ability>
      <abilityName>的地得用法</abilityName>
      <candidateList>
        <item>地</item>
      </candidateList>
      <explain/>
      <paraID>2ECE3D0F</paraID>
      <start>117</start>
      <end>118</end>
      <status>unmodified</status>
      <modifiedWord/>
      <trackRevisions>false</trackRevisions>
    </reviewItem>
    <reviewItem>
      <errorID>ccd20b2a-ea4e-4468-a073-9d0e4afd6a0c</errorID>
      <errorWord>(</errorWord>
      <group>L1_Format</group>
      <groupName>格式问题</groupName>
      <ability>L2_HalfPunc_CN</ability>
      <abilityName>全半角问题</abilityName>
      <candidateList>
        <item>（</item>
      </candidateList>
      <explain>文本全半角错误。</explain>
      <paraID>44409471</paraID>
      <start>99</start>
      <end>100</end>
      <status>unmodified</status>
      <modifiedWord/>
      <trackRevisions>false</trackRevisions>
    </reviewItem>
    <reviewItem>
      <errorID>b55197de-06ad-499d-bc03-9757572bee32</errorID>
      <errorWord>)</errorWord>
      <group>L1_Format</group>
      <groupName>格式问题</groupName>
      <ability>L2_HalfPunc_CN</ability>
      <abilityName>全半角问题</abilityName>
      <candidateList>
        <item>）</item>
      </candidateList>
      <explain>文本全半角错误。</explain>
      <paraID>44409471</paraID>
      <start>104</start>
      <end>105</end>
      <status>unmodified</status>
      <modifiedWord/>
      <trackRevisions>false</trackRevisions>
    </reviewItem>
    <reviewItem>
      <errorID>5088a3cd-9105-40c6-8f8d-6a5dfc7c163f</errorID>
      <errorWord>&lt;</errorWord>
      <group>L1_Format</group>
      <groupName>格式问题</groupName>
      <ability>L2_HalfPunc_CN</ability>
      <abilityName>全半角问题</abilityName>
      <candidateList>
        <item>〈</item>
      </candidateList>
      <explain>文本全半角错误。</explain>
      <paraID>5AFF6D04</paraID>
      <start>47</start>
      <end>48</end>
      <status>unmodified</status>
      <modifiedWord/>
      <trackRevisions>false</trackRevisions>
    </reviewItem>
    <reviewItem>
      <errorID>37995da2-fe53-4cab-b601-b6a848612e74</errorID>
      <errorWord>"</errorWord>
      <group>L1_Format</group>
      <groupName>格式问题</groupName>
      <ability>L2_HalfPunc_CN</ability>
      <abilityName>全半角问题</abilityName>
      <candidateList>
        <item>”</item>
      </candidateList>
      <explain>文本全半角错误。</explain>
      <paraID>5AFF6D04</paraID>
      <start>71</start>
      <end>72</end>
      <status>unmodified</status>
      <modifiedWord/>
      <trackRevisions>false</trackRevisions>
    </reviewItem>
    <reviewItem>
      <errorID>caa10682-0757-412f-a522-2c8f6d482498</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1B278707</paraID>
      <start>25</start>
      <end>28</end>
      <status>unmodified</status>
      <modifiedWord/>
      <trackRevisions>false</trackRevisions>
    </reviewItem>
    <reviewItem>
      <errorID>b3eab7cc-fff3-41a2-a8e3-0df6341e4276</errorID>
      <errorWord>不在</errorWord>
      <group>L1_Word</group>
      <groupName>字词问题</groupName>
      <ability>L2_Typo</ability>
      <abilityName>字词错误</abilityName>
      <candidateList>
        <item>不再</item>
      </candidateList>
      <explain>存在发音相同字词的误用。</explain>
      <paraID>1B278707</paraID>
      <start>30</start>
      <end>32</end>
      <status>unmodified</status>
      <modifiedWord/>
      <trackRevisions>false</trackRevisions>
    </reviewItem>
    <reviewItem>
      <errorID>6d467582-c540-4503-9289-1ae98bdc4664</errorID>
      <errorWord>、或</errorWord>
      <group>L1_Word</group>
      <groupName>字词问题</groupName>
      <ability>L2_Typo</ability>
      <abilityName>字词错误</abilityName>
      <candidateList>
        <item>或</item>
      </candidateList>
      <explain/>
      <paraID>78951942</paraID>
      <start>47</start>
      <end>49</end>
      <status>unmodified</status>
      <modifiedWord/>
      <trackRevisions>false</trackRevisions>
    </reviewItem>
    <reviewItem>
      <errorID>edb91c99-2045-48b9-8bba-fc29079ce5d8</errorID>
      <errorWord>:</errorWord>
      <group>L1_Format</group>
      <groupName>格式问题</groupName>
      <ability>L2_HalfPunc_CN</ability>
      <abilityName>全半角问题</abilityName>
      <candidateList>
        <item>：</item>
      </candidateList>
      <explain>文本全半角错误。</explain>
      <paraID>1D5AFEAC</paraID>
      <start>19</start>
      <end>20</end>
      <status>unmodified</status>
      <modifiedWord/>
      <trackRevisions>false</trackRevisions>
    </reviewItem>
    <reviewItem>
      <errorID>fb1604e9-d437-4bf9-8e89-ca0707e28ed3</errorID>
      <errorWord>应</errorWord>
      <group>L1_Word</group>
      <groupName>字词问题</groupName>
      <ability>L2_Typo</ability>
      <abilityName>字词错误</abilityName>
      <candidateList>
        <item>应在</item>
      </candidateList>
      <explain/>
      <paraID>7384B21F</paraID>
      <start>135</start>
      <end>136</end>
      <status>unmodified</status>
      <modifiedWord/>
      <trackRevisions>false</trackRevisions>
    </reviewItem>
    <reviewItem>
      <errorID>1923664d-2900-4c96-bc65-26db39387e3e</errorID>
      <errorWord>mongoDB</errorWord>
      <group>L1_English</group>
      <groupName>英文问题</groupName>
      <ability>L2_Case</ability>
      <abilityName>大小写问题</abilityName>
      <candidateList>
        <item>MongoDB</item>
      </candidateList>
      <explain>疑似单词大小写错误，建议将mongoDB修改为MongoDB</explain>
      <paraID>7A31F2DF</paraID>
      <start>107</start>
      <end>114</end>
      <status>unmodified</status>
      <modifiedWord/>
      <trackRevisions>false</trackRevisions>
    </reviewItem>
    <reviewItem>
      <errorID>9afd13c0-5519-4dd3-938a-a62c8bd7e6be</errorID>
      <errorWord>redis</errorWord>
      <group>L1_English</group>
      <groupName>英文问题</groupName>
      <ability>L2_Case</ability>
      <abilityName>大小写问题</abilityName>
      <candidateList>
        <item>Redis</item>
      </candidateList>
      <explain>疑似单词大小写错误，建议将redis修改为Redis</explain>
      <paraID>7A31F2DF</paraID>
      <start>115</start>
      <end>120</end>
      <status>unmodified</status>
      <modifiedWord/>
      <trackRevisions>false</trackRevisions>
    </reviewItem>
    <reviewItem>
      <errorID>c8da99a5-a45e-4808-ae76-7f58bef4fa78</errorID>
      <errorWord>spring boot</errorWord>
      <group>L1_English</group>
      <groupName>英文问题</groupName>
      <ability>L2_Case</ability>
      <abilityName>大小写问题</abilityName>
      <candidateList>
        <item>Spring Boot</item>
      </candidateList>
      <explain>疑似单词大小写错误，建议将spring boot修改为Spring Boot</explain>
      <paraID>7A31F2DF</paraID>
      <start>212</start>
      <end>223</end>
      <status>unmodified</status>
      <modifiedWord/>
      <trackRevisions>false</trackRevisions>
    </reviewItem>
    <reviewItem>
      <errorID>f5ea9572-7d96-40fd-b913-188f9aaa13b2</errorID>
      <errorWord>对于</errorWord>
      <group>L1_Word</group>
      <groupName>字词问题</groupName>
      <ability>L2_Typo</ability>
      <abilityName>字词错误</abilityName>
      <candidateList>
        <item>对</item>
      </candidateList>
      <explain/>
      <paraID>63A64C64</paraID>
      <start>30</start>
      <end>32</end>
      <status>unmodified</status>
      <modifiedWord/>
      <trackRevisions>false</trackRevisions>
    </reviewItem>
    <reviewItem>
      <errorID>46bc12a9-994f-4316-907d-1fcd7a57092b</errorID>
      <errorWord>的</errorWord>
      <group>L1_Word</group>
      <groupName>字词问题</groupName>
      <ability>L2_DDD</ability>
      <abilityName>的地得用法</abilityName>
      <candidateList>
        <item>地</item>
      </candidateList>
      <explain/>
      <paraID>7DCD965B</paraID>
      <start>11</start>
      <end>12</end>
      <status>unmodified</status>
      <modifiedWord/>
      <trackRevisions>false</trackRevisions>
    </reviewItem>
    <reviewItem>
      <errorID>f5692bbc-397b-45d0-9f16-1e2e5e7674fb</errorID>
      <errorWord>其它</errorWord>
      <group>L1_Word</group>
      <groupName>字词问题</groupName>
      <ability>L2_Alias</ability>
      <abilityName>也作/曾用词</abilityName>
      <candidateList>
        <item>其他</item>
      </candidateList>
      <explain>词汇[其它]为不规范表述或旧称，其规范书面表述为[其他]。</explain>
      <paraID>2514124C</paraID>
      <start>4</start>
      <end>6</end>
      <status>unmodified</status>
      <modifiedWord/>
      <trackRevisions>false</trackRevisions>
    </reviewItem>
    <reviewItem>
      <errorID>81341aa0-f6b5-4697-b431-56fc71b1752f</errorID>
      <errorWord>管理的</errorWord>
      <group>L1_Word</group>
      <groupName>字词问题</groupName>
      <ability>L2_Typo</ability>
      <abilityName>字词错误</abilityName>
      <candidateList>
        <item>管理</item>
      </candidateList>
      <explain/>
      <paraID>6294372C</paraID>
      <start>18</start>
      <end>21</end>
      <status>unmodified</status>
      <modifiedWord/>
      <trackRevisions>false</trackRevisions>
    </reviewItem>
    <reviewItem>
      <errorID>980f1c8f-034e-443d-a6bd-d18223e3c8df</errorID>
      <errorWord>法律、法规</errorWord>
      <group>L1_Word</group>
      <groupName>字词问题</groupName>
      <ability>L2_Typo</ability>
      <abilityName>字词错误</abilityName>
      <candidateList>
        <item>法律法规</item>
      </candidateList>
      <explain/>
      <paraID>50187194</paraID>
      <start>8</start>
      <end>13</end>
      <status>unmodified</status>
      <modifiedWord/>
      <trackRevisions>false</trackRevisions>
    </reviewItem>
    <reviewItem>
      <errorID>b48c4382-1121-4f3a-be7a-05bfd3124cbd</errorID>
      <errorWord>(</errorWord>
      <group>L1_Format</group>
      <groupName>格式问题</groupName>
      <ability>L2_HalfPunc_CN</ability>
      <abilityName>全半角问题</abilityName>
      <candidateList>
        <item>（</item>
      </candidateList>
      <explain>文本全半角错误。</explain>
      <paraID>764A1EF1</paraID>
      <start>12</start>
      <end>13</end>
      <status>unmodified</status>
      <modifiedWord/>
      <trackRevisions>false</trackRevisions>
    </reviewItem>
    <reviewItem>
      <errorID>421ca240-d401-4cf4-b2f3-c151163a19a2</errorID>
      <errorWord>等等</errorWord>
      <group>L1_Word</group>
      <groupName>字词问题</groupName>
      <ability>L2_Typo</ability>
      <abilityName>字词错误</abilityName>
      <candidateList>
        <item>等</item>
      </candidateList>
      <explain/>
      <paraID>6EA5DF3A</paraID>
      <start>14</start>
      <end>16</end>
      <status>unmodified</status>
      <modifiedWord/>
      <trackRevisions>false</trackRevisions>
    </reviewItem>
    <reviewItem>
      <errorID>fa200f3e-900a-4c38-890f-4e4e1a71f851</errorID>
      <errorWord>以上的</errorWord>
      <group>L1_Word</group>
      <groupName>字词问题</groupName>
      <ability>L2_Typo</ability>
      <abilityName>字词错误</abilityName>
      <candidateList>
        <item>以上</item>
      </candidateList>
      <explain/>
      <paraID>5A8F7EE4</paraID>
      <start>2</start>
      <end>5</end>
      <status>unmodified</status>
      <modifiedWord/>
      <trackRevisions>false</trackRevisions>
    </reviewItem>
    <reviewItem>
      <errorID>133b62ba-e519-4fe1-b2cc-aaa5c6a49307</errorID>
      <errorWord>-</errorWord>
      <group>L1_Format</group>
      <groupName>格式问题</groupName>
      <ability>L2_HalfPunc_CN</ability>
      <abilityName>全半角问题</abilityName>
      <candidateList>
        <item>－</item>
      </candidateList>
      <explain>文本全半角错误。</explain>
      <paraID>448A8FD0</paraID>
      <start>4</start>
      <end>5</end>
      <status>unmodified</status>
      <modifiedWord/>
      <trackRevisions>false</trackRevisions>
    </reviewItem>
    <reviewItem>
      <errorID>d13bdcad-311f-42d5-8a76-fc560d5b0f76</errorID>
      <errorWord>-</errorWord>
      <group>L1_Format</group>
      <groupName>格式问题</groupName>
      <ability>L2_HalfPunc_CN</ability>
      <abilityName>全半角问题</abilityName>
      <candidateList>
        <item>－</item>
      </candidateList>
      <explain>文本全半角错误。</explain>
      <paraID>7661C27A</paraID>
      <start>4</start>
      <end>5</end>
      <status>unmodified</status>
      <modifiedWord/>
      <trackRevisions>false</trackRevisions>
    </reviewItem>
    <reviewItem>
      <errorID>3753909a-7684-4ab3-9252-8ee237470831</errorID>
      <errorWord>-</errorWord>
      <group>L1_Format</group>
      <groupName>格式问题</groupName>
      <ability>L2_HalfPunc_CN</ability>
      <abilityName>全半角问题</abilityName>
      <candidateList>
        <item>－</item>
      </candidateList>
      <explain>文本全半角错误。</explain>
      <paraID>7661C27A</paraID>
      <start>11</start>
      <end>12</end>
      <status>unmodified</status>
      <modifiedWord/>
      <trackRevisions>false</trackRevisions>
    </reviewItem>
    <reviewItem>
      <errorID>76a95b51-e916-456e-a4c6-dacb21d3442c</errorID>
      <errorWord>-</errorWord>
      <group>L1_Format</group>
      <groupName>格式问题</groupName>
      <ability>L2_HalfPunc_CN</ability>
      <abilityName>全半角问题</abilityName>
      <candidateList>
        <item>－</item>
      </candidateList>
      <explain>文本全半角错误。</explain>
      <paraID>4465A195</paraID>
      <start>9</start>
      <end>10</end>
      <status>unmodified</status>
      <modifiedWord/>
      <trackRevisions>false</trackRevisions>
    </reviewItem>
    <reviewItem>
      <errorID>317c1588-6668-4d6a-9bf8-8cc8301513f6</errorID>
      <errorWord>-</errorWord>
      <group>L1_Format</group>
      <groupName>格式问题</groupName>
      <ability>L2_HalfPunc_CN</ability>
      <abilityName>全半角问题</abilityName>
      <candidateList>
        <item>－</item>
      </candidateList>
      <explain>文本全半角错误。</explain>
      <paraID>2BCA4559</paraID>
      <start>12</start>
      <end>13</end>
      <status>unmodified</status>
      <modifiedWord/>
      <trackRevisions>false</trackRevisions>
    </reviewItem>
    <reviewItem>
      <errorID>cd39724e-a65c-4ddd-a9c5-9e1449648446</errorID>
      <errorWord>-</errorWord>
      <group>L1_Format</group>
      <groupName>格式问题</groupName>
      <ability>L2_HalfPunc_CN</ability>
      <abilityName>全半角问题</abilityName>
      <candidateList>
        <item>－</item>
      </candidateList>
      <explain>文本全半角错误。</explain>
      <paraID>2BCA4559</paraID>
      <start>31</start>
      <end>32</end>
      <status>unmodified</status>
      <modifiedWord/>
      <trackRevisions>false</trackRevisions>
    </reviewItem>
    <reviewItem>
      <errorID>000eb01e-e074-40fc-8018-bac091d58f9b</errorID>
      <errorWord>二个</errorWord>
      <group>L1_Word</group>
      <groupName>字词问题</groupName>
      <ability>L2_Typo</ability>
      <abilityName>字词错误</abilityName>
      <candidateList>
        <item>两个</item>
      </candidateList>
      <explain/>
      <paraID>35AC9E11</paraID>
      <start>28</start>
      <end>30</end>
      <status>unmodified</status>
      <modifiedWord/>
      <trackRevisions>false</trackRevisions>
    </reviewItem>
    <reviewItem>
      <errorID>bc917e3c-cef6-4600-812f-a3287404f6f4</errorID>
      <errorWord>期</errorWord>
      <group>L1_Word</group>
      <groupName>字词问题</groupName>
      <ability>L2_Typo</ability>
      <abilityName>字词错误</abilityName>
      <candidateList>
        <item>期间</item>
      </candidateList>
      <explain/>
      <paraID>63AF0D00</paraID>
      <start>19</start>
      <end>20</end>
      <status>unmodified</status>
      <modifiedWord/>
      <trackRevisions>false</trackRevisions>
    </reviewItem>
    <reviewItem>
      <errorID>e3d6e2b3-d0d6-43d3-9537-577a4731e96a</errorID>
      <errorWord>,</errorWord>
      <group>L1_Format</group>
      <groupName>格式问题</groupName>
      <ability>L2_HalfPunc_CN</ability>
      <abilityName>全半角问题</abilityName>
      <candidateList>
        <item>，</item>
      </candidateList>
      <explain>文本全半角错误。</explain>
      <paraID>41C3D30E</paraID>
      <start>23</start>
      <end>24</end>
      <status>unmodified</status>
      <modifiedWord/>
      <trackRevisions>false</trackRevisions>
    </reviewItem>
    <reviewItem>
      <errorID>54774032-12c5-4be1-9b54-90e5effbfbe9</errorID>
      <errorWord>,</errorWord>
      <group>L1_Format</group>
      <groupName>格式问题</groupName>
      <ability>L2_HalfPunc_CN</ability>
      <abilityName>全半角问题</abilityName>
      <candidateList>
        <item>，</item>
      </candidateList>
      <explain>文本全半角错误。</explain>
      <paraID>10848F37</paraID>
      <start>18</start>
      <end>19</end>
      <status>unmodified</status>
      <modifiedWord/>
      <trackRevisions>false</trackRevisions>
    </reviewItem>
    <reviewItem>
      <errorID>c484283e-c470-4875-8a80-e457cb3bf745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10EDE1EF</paraID>
      <start>0</start>
      <end>2</end>
      <status>unmodified</status>
      <modifiedWord/>
      <trackRevisions>false</trackRevisions>
    </reviewItem>
    <reviewItem>
      <errorID>96a29b29-2319-449b-acbf-c912150a072c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7CB29075</paraID>
      <start>0</start>
      <end>2</end>
      <status>unmodified</status>
      <modifiedWord/>
      <trackRevisions>false</trackRevisions>
    </reviewItem>
    <reviewItem>
      <errorID>66d437ac-bdeb-46bd-9e7f-4425f3676b19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3EDD72EE</paraID>
      <start>0</start>
      <end>2</end>
      <status>unmodified</status>
      <modifiedWord/>
      <trackRevisions>false</trackRevisions>
    </reviewItem>
    <reviewItem>
      <errorID>f2310646-eb77-4eda-90e6-341358930224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1B8F80F3</paraID>
      <start>0</start>
      <end>2</end>
      <status>unmodified</status>
      <modifiedWord/>
      <trackRevisions>false</trackRevisions>
    </reviewItem>
    <reviewItem>
      <errorID>add8c455-f4b2-4bdb-a792-32226c6c7b39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13CDC43B</paraID>
      <start>0</start>
      <end>2</end>
      <status>unmodified</status>
      <modifiedWord/>
      <trackRevisions>false</trackRevisions>
    </reviewItem>
    <reviewItem>
      <errorID>f27543b6-49f1-4ecc-9edf-9ef40944ffc3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13ED57C6</paraID>
      <start>0</start>
      <end>2</end>
      <status>unmodified</status>
      <modifiedWord/>
      <trackRevisions>false</trackRevisions>
    </reviewItem>
    <reviewItem>
      <errorID>752b2ae4-9c51-4021-a8db-61321d5fd596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4A77ED66</paraID>
      <start>0</start>
      <end>2</end>
      <status>unmodified</status>
      <modifiedWord/>
      <trackRevisions>false</trackRevisions>
    </reviewItem>
    <reviewItem>
      <errorID>f156d68e-742c-4f92-b5c3-3d90fab6a719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6AD35425</paraID>
      <start>0</start>
      <end>2</end>
      <status>unmodified</status>
      <modifiedWord/>
      <trackRevisions>false</trackRevisions>
    </reviewItem>
    <reviewItem>
      <errorID>4369ffde-a02e-42eb-ad10-934ff36dff33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7AF5A0CA</paraID>
      <start>0</start>
      <end>2</end>
      <status>unmodified</status>
      <modifiedWord/>
      <trackRevisions>false</trackRevisions>
    </reviewItem>
    <reviewItem>
      <errorID>4106ee28-d79d-4a1b-9d9d-bab3d4a11059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4BA6A1D9</paraID>
      <start>0</start>
      <end>2</end>
      <status>unmodified</status>
      <modifiedWord/>
      <trackRevisions>false</trackRevisions>
    </reviewItem>
    <reviewItem>
      <errorID>6ab2ace3-b184-48af-96e7-4a69ce90b888</errorID>
      <errorWord>/</errorWord>
      <group>L1_Word</group>
      <groupName>字词问题</groupName>
      <ability>L2_Typo</ability>
      <abilityName>字词错误</abilityName>
      <candidateList>
        <item>/评</item>
      </candidateList>
      <explain/>
      <paraID>575A1853</paraID>
      <start>2</start>
      <end>3</end>
      <status>unmodified</status>
      <modifiedWord/>
      <trackRevisions>false</trackRevisions>
    </reviewItem>
    <reviewItem>
      <errorID>8eb4616a-6b19-4bbe-9348-b4ac93603c8d</errorID>
      <errorWord>0-5%</errorWord>
      <group>L1_Knowledge</group>
      <groupName>知识性问题</groupName>
      <ability>L2_Knowledge</ability>
      <abilityName>其他知识</abilityName>
      <candidateList>
        <item>0—5%</item>
      </candidateList>
      <explain>1. “0-5%”中的单位“%”仅出现在后一个数字上，容易引起歧义；根据《现代汉语标点符号数字用法规范手册》，数字表示范围两边需要使用统一的格式。2. 根据标点国标 4.13 中的规则，数字、时间或地域连接符应使用（视觉上更长的）“—”或“～”。</explain>
      <paraID>1BF93AC9</paraID>
      <start>4</start>
      <end>8</end>
      <status>unmodified</status>
      <modifiedWord/>
      <trackRevisions>false</trackRevisions>
    </reviewItem>
    <reviewItem>
      <errorID>3f4dbe98-b1ab-4271-bc32-ddad7761d96d</errorID>
      <errorWord>5%-20%</errorWord>
      <group>L1_Knowledge</group>
      <groupName>知识性问题</groupName>
      <ability>L2_Knowledge</ability>
      <abilityName>其他知识</abilityName>
      <candidateList>
        <item>5%—20%</item>
      </candidateList>
      <explain>1. “5%-20%”中的单位“%”仅出现在后一个数字上，容易引起歧义；根据《现代汉语标点符号数字用法规范手册》，数字表示范围两边需要使用统一的格式。2. 根据标点国标 4.13 中的规则，数字、时间或地域连接符应使用（视觉上更长的）“—”或“～”。</explain>
      <paraID>66D3244B</paraID>
      <start>3</start>
      <end>9</end>
      <status>unmodified</status>
      <modifiedWord/>
      <trackRevisions>false</trackRevisions>
    </reviewItem>
    <reviewItem>
      <errorID>b23f248d-a226-4dbf-8247-a51b13c276a7</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780B1AE1</paraID>
      <start>4</start>
      <end>12</end>
      <status>unmodified</status>
      <modifiedWord/>
      <trackRevisions>false</trackRevisions>
    </reviewItem>
    <reviewItem>
      <errorID>b332bb2f-acd1-4ce5-b102-3615359a6786</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2EE509C5</paraID>
      <start>3</start>
      <end>10</end>
      <status>unmodified</status>
      <modifiedWord/>
      <trackRevisions>false</trackRevisions>
    </reviewItem>
    <reviewItem>
      <errorID>1406c0ee-0075-400d-9523-a393bc775c0a</errorID>
      <errorWord>一</errorWord>
      <group>L1_Word</group>
      <groupName>字词问题</groupName>
      <ability>L2_Typo</ability>
      <abilityName>字词错误</abilityName>
      <candidateList>
        <item>一个</item>
      </candidateList>
      <explain/>
      <paraID>145C60B2</paraID>
      <start>19</start>
      <end>20</end>
      <status>unmodified</status>
      <modifiedWord/>
      <trackRevisions>false</trackRevisions>
    </reviewItem>
    <reviewItem>
      <errorID>dcd432da-de1d-4ebc-aa6c-892a08648833</errorID>
      <errorWord>III级</errorWord>
      <group>L1_Knowledge</group>
      <groupName>知识性问题</groupName>
      <ability>L2_Knowledge</ability>
      <abilityName>其他知识</abilityName>
      <candidateList>
        <item>Ⅲ级</item>
      </candidateList>
      <explain>中文环境下罗马数字格式错误。</explain>
      <paraID>447D3EB3</paraID>
      <start>8</start>
      <end>12</end>
      <status>unmodified</status>
      <modifiedWord/>
      <trackRevisions>false</trackRevisions>
    </reviewItem>
    <reviewItem>
      <errorID>ca528047-907b-4573-84df-18e2ebdc6918</errorID>
      <errorWord>出现的</errorWord>
      <group>L1_Word</group>
      <groupName>字词问题</groupName>
      <ability>L2_Typo</ability>
      <abilityName>字词错误</abilityName>
      <candidateList>
        <item>出现</item>
      </candidateList>
      <explain/>
      <paraID>1F5A77CE</paraID>
      <start>1</start>
      <end>4</end>
      <status>unmodified</status>
      <modifiedWord/>
      <trackRevisions>false</trackRevisions>
    </reviewItem>
    <reviewItem>
      <errorID>fac0ba3b-5d6c-4852-b478-7af18c1732fd</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344C1099</paraID>
      <start>3</start>
      <end>11</end>
      <status>unmodified</status>
      <modifiedWord/>
      <trackRevisions>false</trackRevisions>
    </reviewItem>
    <reviewItem>
      <errorID>419f9ab4-fb31-48ed-8295-7c1f3566865d</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2A4F1193</paraID>
      <start>3</start>
      <end>10</end>
      <status>unmodified</status>
      <modifiedWord/>
      <trackRevisions>false</trackRevisions>
    </reviewItem>
    <reviewItem>
      <errorID>76a2a23b-1838-4129-9714-5280179e2c00</errorID>
      <errorWord>98%-100%</errorWord>
      <group>L1_Knowledge</group>
      <groupName>知识性问题</groupName>
      <ability>L2_Knowledge</ability>
      <abilityName>其他知识</abilityName>
      <candidateList>
        <item>98%—100%</item>
      </candidateList>
      <explain>1. “98%-100%”中的单位“%”仅出现在后一个数字上，容易引起歧义；根据《现代汉语标点符号数字用法规范手册》，数字表示范围两边需要使用统一的格式。2.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606AF267</paraID>
      <start>3</start>
      <end>11</end>
      <status>unmodified</status>
      <modifiedWord/>
      <trackRevisions>false</trackRevisions>
    </reviewItem>
    <reviewItem>
      <errorID>c2817ce6-47c3-4e37-9b66-4e823b2cb9b6</errorID>
      <errorWord>95%-97%</errorWord>
      <group>L1_Knowledge</group>
      <groupName>知识性问题</groupName>
      <ability>L2_Knowledge</ability>
      <abilityName>其他知识</abilityName>
      <candidateList>
        <item>95%—97%</item>
      </candidateList>
      <explain>1. “95%-97%”中的单位“%”仅出现在后一个数字上，容易引起歧义；根据《现代汉语标点符号数字用法规范手册》，数字表示范围两边需要使用统一的格式。2. 根据标点国标 4.13 中的规则，数字、时间或地域连接符应使用（视觉上更长的）“—”或“～”。</explain>
      <paraID>7E46590E</paraID>
      <start>3</start>
      <end>10</end>
      <status>unmodified</status>
      <modifiedWord/>
      <trackRevisions>false</trackRevisions>
    </reviewItem>
    <reviewItem>
      <errorID>6f58c54c-4b9a-477c-9b40-b0b890e93d91</errorID>
      <errorWord>0-20%</errorWord>
      <group>L1_Knowledge</group>
      <groupName>知识性问题</groupName>
      <ability>L2_Knowledge</ability>
      <abilityName>其他知识</abilityName>
      <candidateList>
        <item>0—20%</item>
      </candidateList>
      <explain>1. “0-20%”中的单位“%”仅出现在后一个数字上，容易引起歧义；根据《现代汉语标点符号数字用法规范手册》，数字表示范围两边需要使用统一的格式。2.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76BB87F9</paraID>
      <start>4</start>
      <end>9</end>
      <status>unmodified</status>
      <modifiedWord/>
      <trackRevisions>false</trackRevisions>
    </reviewItem>
    <reviewItem>
      <errorID>137fc286-edb4-4b26-9cc4-d9e2b97b4cc3</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2BFBC406</paraID>
      <start>3</start>
      <end>10</end>
      <status>unmodified</status>
      <modifiedWord/>
      <trackRevisions>false</trackRevisions>
    </reviewItem>
    <reviewItem>
      <errorID>a8214808-a3c2-4cb1-b6b4-2af91b36cf97</errorID>
      <errorWord>好</errorWord>
      <group>L1_Word</group>
      <groupName>字词问题</groupName>
      <ability>L2_Typo</ability>
      <abilityName>字词错误</abilityName>
      <candidateList>
        <item>好地</item>
      </candidateList>
      <explain/>
      <paraID>455E396B</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201523-3748-4633-a4c4-7ee97dcf4fe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125</Pages>
  <Words>2481</Words>
  <Characters>2643</Characters>
  <Lines>443</Lines>
  <Paragraphs>124</Paragraphs>
  <TotalTime>0</TotalTime>
  <ScaleCrop>false</ScaleCrop>
  <LinksUpToDate>false</LinksUpToDate>
  <CharactersWithSpaces>2726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2024-10-10T19:12:00Z</dcterms:created>
  <dc:creator>宋菁菁</dc:creator>
  <cp:lastModifiedBy>交易中心-罗</cp:lastModifiedBy>
  <cp:lastPrinted>2024-09-08T00:59:00Z</cp:lastPrinted>
  <dcterms:modified xsi:type="dcterms:W3CDTF">2026-08-31T08:29:52Z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7C373FD9EAD24389B77E2069178632F7_13</vt:lpwstr>
  </property>
  <property fmtid="{D5CDD505-2E9C-101B-9397-08002B2CF9AE}" pid="4" name="KSOTemplateDocerSaveRecord">
    <vt:lpwstr>eyJoZGlkIjoiYTQ5ZmY1ODA0NTUyNTIzOGU4NGRmM2JhYjg3Y2Q0YjMiLCJ1c2VySWQiOiIxNTcyMDkyNjg5In0=</vt:lpwstr>
  </property>
</Properties>
</file>